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КОМУНАЛЬНИЙ ЗАКЛАД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«ХОРТИЦЬКА НАЦІОНАЛЬНА НАВЧАЛЬНО-РЕАБІЛІТАЦІЙНА АКАДЕМІЯ»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ЗАПОРІЗЬКОЇ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Освітня програма «Харчові технології» першого (бакалаврського) рівня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спеціальність 181 Харчові технології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СИЛАБУС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3"/>
        <w:gridCol w:w="7876"/>
        <w:tblGridChange w:id="0">
          <w:tblGrid>
            <w:gridCol w:w="2353"/>
            <w:gridCol w:w="7876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Інноваційні харчові інгредієнти у технології м’ясних і м’ясомістких продуктів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Викладач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Дерев’янко Костянтин Володимирович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Асистент кафедри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Контактний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0676177672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Посилання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red"/>
                <w:u w:val="none"/>
                <w:vertAlign w:val="baseline"/>
                <w:rtl w:val="0"/>
              </w:rPr>
              <w:t xml:space="preserve">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Консультації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Очні консультації: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за попередньою домовленістю вівторок з 13.30 до 16.00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Онлайн консультації: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за попередньою домовленістю Viber (0676177672) в робочі дні з 9.00 до 17.00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Анотація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М’ясо та м’ясопродукти є важливими незамінними продуктами харчування, які забезпечують фізіологічні потреби населення, є основним джерелом повноцінних білків, мінеральних речовин, насичених і поліненасичених жирних кислот, деяких вітамінів і інших цінних поживних речовин.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Останніми роками, зважаючи на сучасні вимоги нутриціології і специфічної економічної ситуації в Україні, проводиться пошук і розробка нового асортименту м’ясної продукції за новими рецептурами, заданого хімічного складу, збалансованого за вмістом білків, жирів і вуглеводів, води, мінеральних речовин і вітамінів. З метою підвищення харчової та фізіологічної цінності продукції використовують компоненти тваринного та рослинного походження, розширюють пошук нових джерел сировини й інгредієнтів для виробництва м’ясних продуктів. Безперечно, перевага надається натуральним інгредієнтам, які гарантують безпечність, харчову та біологічну цінність продуктів харчування.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Заплановані результати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Відповідно до призначення основною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метою дисципліни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 формування у студентів наукового світогляду, сучасних поглядів на інноваційні течії в науці по біотехнології м'ясопереробного виробництва на базі сучасних уявлень про фізичні, хімічні, біохімічних та інших процесів, що протікають в харчовому і технічній сировині і продуктах. Біохімічний склад, взаємодію різних компонентів визначають технологічні підходи і прогнозують зміни.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Знати: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57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основні напрямки науково-технічного прогресу в становленні сучасної технології м'ясопереробної промисловості;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06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сучасні уявлення про закономірності фізичних, хімічних, фізико-хімічних, біохімічних та інших процесів при виробництві м'ясних і м'ясо-рослинних продуктів;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06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сировина: склад, процеси, що протікають в ній в процесах зберігання і переробки;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70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інноваційні технології виробництва м'ясних та м'ясо- рослинних виробів, продуктів забою, жирового, технічного і кормового виробництва;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Вміти: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13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пояснити біотехнологію різних стадій технології м’ясної галузі;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09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розрізняти і проводити лабораторні експрес-аналізи сировини, напівфабрикатів, готових виробів;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21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основі отриманих знань вирішувати ситуаційні завдання в технології м’ясопереробних підприємств;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5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удосконалювати і оптимізувати діючі технології на базі системного підходу до оцінки технологічних процесів;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46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застосовувати отримані знання в організації сучасного виробництва, формуванні асортименту, екологічної чистоти продуктів.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Політика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організацію освітнього процесу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атестацію здобувачів вищої освіти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вибіркові дисципліни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систему внутрішнього забезпечення якості освіти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критерії оцінювання знань студентів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переведення на індивідуальний графік навчання студентів денної форми навчання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академічну доброчесність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 НАВЧАЛЬНОЇ ДИСЦИПЛІНИ</w:t>
      </w:r>
    </w:p>
    <w:tbl>
      <w:tblPr>
        <w:tblStyle w:val="Table2"/>
        <w:tblW w:w="10212.0" w:type="dxa"/>
        <w:jc w:val="center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4027"/>
        <w:gridCol w:w="2551"/>
        <w:gridCol w:w="1545"/>
        <w:gridCol w:w="2089"/>
        <w:tblGridChange w:id="0">
          <w:tblGrid>
            <w:gridCol w:w="4027"/>
            <w:gridCol w:w="2551"/>
            <w:gridCol w:w="1545"/>
            <w:gridCol w:w="2089"/>
          </w:tblGrid>
        </w:tblGridChange>
      </w:tblGrid>
      <w:tr>
        <w:trPr>
          <w:cantSplit w:val="1"/>
          <w:trHeight w:val="2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Найменування показників</w:t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Галузь знань, спеціальність,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освітній рівень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навчальної дисципліни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 навчання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денна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кредитів – 4</w:t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Галузь знань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 «Виробництво та технології»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Нормативна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Спеціальність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181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«Харчові технології»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Семестр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5-й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Модулів – 2</w:t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Освітній рівень: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перший (бакалаврський)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Аудиторні години: 44 год.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Змістових модулів – 2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Лекції: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 год.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Практичні, семінарські: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 год.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Загальна кількість годин – 120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Лабораторні: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Тижневих годин для денної форми навчання: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аудиторних – 2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самостійної роботи студента – 3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Самостійна робота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 год.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Модульний контроль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контролю: залік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ПРОГРАМА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Змістовний модуль І. Класифікація харчових продуктів. Функціональні інгредієнти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Вступ.  Класифікація  харчових  продуктів. Функціональні інгредієнти.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Сучасна класифікація продуктів харчування. Продукти масового споживання. Продукти функціонального харчування.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Продукти лікувально-профілактичного призначення та спеціального призначення. Співвідношення груп харчових продуктів. Теорія Д. Поттера, функціональні інгредієнти, кількість функціонального інгредієнта.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Технологія низькокалорійних м'ясопродуктів з харчовими волокнами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харчових волокон. Проблеми нестачі харчових волокон. Джерела харчових волокон.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 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пектину, пентозану, альгінатів, камеді, карагенану, інуліну. Розчинність харчових волокон. Використання харчових волокон у м’ясопродуктах.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Технологія функціональних м'ясопродуктів, збагачених вітамінами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вітамінів, їх фізіологічне значення. Фактори, що впливають на стабільність вітамінів.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Сировина з високим вмістом вітамінів. Використання вітаміновмісних препаратів. Використання вітамінів в технології м'ясних продуктів.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Технологія функціональних м'ясопродуктів, збагачених мінеральними речовинами, Характеристика мінеральних речовин, їх фізіологічне значення.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8.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Способи збагачення м'ясопродуктів мінеральними речовинами. Способи збагачення м'ясних продуктів залізом. Способи збагачення м'ясних продуктів йодом. Збагачення м'ясопродуктів кальцієм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Змістовний модуль ІІ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Технологія м'ясопродуктів збагачених функціональними інгредієнтами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9.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Технологія м'ясопродуктів, збагачених поліненасиченими жирними кислотами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поліненасичених жирних кислот. Способи збагачення м'ясопродуктів полі ненасиченими жирними кислотами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10.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Використання пробіотиків і пребіотиків в технології м'ясних продуктів. Виробництво функціональних пробіотичних продуктів.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11.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Використання про біотичних мікроорганізмів в технології м'ясопродуктів. Використання препаратів пробіотиків прямого призначення.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12.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Використання виробничих заквасок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13.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пребіотиків і їх використання в технології м'ясних продуктів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03"/>
          <w:tab w:val="left" w:leader="none" w:pos="3500"/>
          <w:tab w:val="left" w:leader="none" w:pos="4428"/>
          <w:tab w:val="left" w:leader="none" w:pos="4737"/>
          <w:tab w:val="left" w:leader="none" w:pos="5677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Похідні пребіотиків. Ксиліт і сорбіт. Лактоза. Олігоцукри. Інулін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СТРУКТУРА НАВЧАЛЬНОЇ ДИСЦИПЛІНИ</w:t>
      </w:r>
      <w:r w:rsidDel="00000000" w:rsidR="00000000" w:rsidRPr="00000000">
        <w:rPr>
          <w:rtl w:val="0"/>
        </w:rPr>
      </w:r>
    </w:p>
    <w:tbl>
      <w:tblPr>
        <w:tblStyle w:val="Table3"/>
        <w:tblW w:w="98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3"/>
        <w:gridCol w:w="1134"/>
        <w:gridCol w:w="850"/>
        <w:gridCol w:w="851"/>
        <w:gridCol w:w="850"/>
        <w:gridCol w:w="851"/>
        <w:gridCol w:w="814"/>
        <w:tblGridChange w:id="0">
          <w:tblGrid>
            <w:gridCol w:w="4503"/>
            <w:gridCol w:w="1134"/>
            <w:gridCol w:w="850"/>
            <w:gridCol w:w="851"/>
            <w:gridCol w:w="850"/>
            <w:gridCol w:w="851"/>
            <w:gridCol w:w="814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Назви тем змістовних модулів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годин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 тому числі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с.р.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Змістовний модуль І. Класифікація харчових продуктів. Функціональні інгредієнти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Вступ.  Класифікація  харчових  продуктів. Функціональні інгредієнти.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43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Сучасна класифікація продуктів харчування. Продукти масового споживання. Продукти функціонального харчування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2.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Продукти лікувально-профілактичного призначення та спеціального призначення. Співвідношення груп харчових продуктів. Теорія Д. Поттера, функціональні інгредієнти, кількість функціонального інгредієнта.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Технологія низькокалорійних м'ясопродуктів з харчовими волокнами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Класифікація харчових волокон. Проблеми нестачі харчових волокон. Джерела харчових волокон.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 4.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пектину, пентозану, альгінатів, камеді, карагенану, інуліну. Розчинність харчових волокон. Використання харчових волокон у м’ясопродуктах.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5.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Технологія функціональних м'ясопродуктів, збагачених вітамінами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вітамінів, їх фізіологічне значення. Фактори, що впливають на стабільність вітамінів.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6.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Сировина з високим вмістом вітамінів. Використання вітаміновмісних препаратів. Використання вітамінів в технології м'ясних продуктів.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7.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Технологія функціональних м'ясопродуктів, збагачених мінеральними речовинами, Характеристика мінеральних речовин, їх фізіологічне значення.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8.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збагачення м'ясопродуктів мінеральними речовинами. Способи збагачення м'ясних продуктів залізом. Способи збагачення м'ясних продуктів йодом. Збагачення м'ясопродуктів кальцієм.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модуль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Змістовний модуль ІІ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Технологія м'ясопродуктів збагачених функціональними інгредієнтами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9.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Технологія м'ясопродуктів, збагачених поліненасиченими жирними кислотами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поліненасичених жирних кислот. Способи збагачення м'ясопродуктів полі ненасиченими жирними кислотами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10.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Використання пробіотиків і пребіотиків в технології м'ясних продуктів. Виробництво функціональних пробіотичних продуктів.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11.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Використання про біотичних мікроорганізмів в технології м'ясопродуктів. Використання препаратів пробіотиків прямого призначення.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12.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Використання виробничих заквасок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13.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пребіотиків і їх використання в технології м'ясних продуктів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03"/>
                <w:tab w:val="left" w:leader="none" w:pos="3500"/>
                <w:tab w:val="left" w:leader="none" w:pos="4428"/>
                <w:tab w:val="left" w:leader="none" w:pos="4737"/>
                <w:tab w:val="left" w:leader="none" w:pos="5677"/>
              </w:tabs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Похідні пребіотиків. Ксиліт і сорбіт. Лактоза. Олігоцукри. Інулін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модуль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</w:tr>
    </w:tbl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ТЕМИ ПРАКТИЧНИХ ЗАНЯТЬ</w:t>
      </w:r>
      <w:r w:rsidDel="00000000" w:rsidR="00000000" w:rsidRPr="00000000">
        <w:rPr>
          <w:rtl w:val="0"/>
        </w:rPr>
      </w:r>
    </w:p>
    <w:tbl>
      <w:tblPr>
        <w:tblStyle w:val="Table4"/>
        <w:tblW w:w="9809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5"/>
        <w:gridCol w:w="971"/>
        <w:gridCol w:w="6946"/>
        <w:gridCol w:w="1337"/>
        <w:tblGridChange w:id="0">
          <w:tblGrid>
            <w:gridCol w:w="555"/>
            <w:gridCol w:w="971"/>
            <w:gridCol w:w="6946"/>
            <w:gridCol w:w="13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годин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Дослідження функціональних властивостей м’ясного фаршу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Визначення вологозв'язуючої здатності фаршу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Визначення вологоутримуючої здатності фаршу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Розрахунок виходу готової продукції та оцінка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якості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Вплив методів засолу на зміну фізико-хімічні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показники м'яса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Технологія січених напівфабрикатів, збагачених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харчовими волокнами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Технологія січених напівфабрикатів збагачених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вітаміном 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ins w:author="Administrator" w:id="0" w:date="2025-04-07T18:26:00Z"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Усього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</w:tbl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ЗАВДАННЯ ДЛЯ САМОСТІЙНОЇ РОБОТИ</w:t>
      </w:r>
      <w:r w:rsidDel="00000000" w:rsidR="00000000" w:rsidRPr="00000000">
        <w:rPr>
          <w:rtl w:val="0"/>
        </w:rPr>
      </w:r>
    </w:p>
    <w:tbl>
      <w:tblPr>
        <w:tblStyle w:val="Table5"/>
        <w:tblW w:w="9747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5"/>
        <w:gridCol w:w="1254"/>
        <w:gridCol w:w="6521"/>
        <w:gridCol w:w="1417"/>
        <w:tblGridChange w:id="0">
          <w:tblGrid>
            <w:gridCol w:w="555"/>
            <w:gridCol w:w="1254"/>
            <w:gridCol w:w="6521"/>
            <w:gridCol w:w="14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годин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Сучасні основи технологій м'ясопереробної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галузі. Наукові основи технологічних процесів.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Основні складові речовини харчових продуктів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їх зміни при технологічній обробці продуктів.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Сучасні інноваційні способи холодильної обробки, зберігання м'яса і м'ясопродуктів,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дефростації і розморожування.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Сучасні інноваційні технології масложирового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виробництва. Переробка колагеновмістимої сировини.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Інноваційні технології виробництва емульсованих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м'ясних, жирових і м'ясо-рослинних продуктів, всіх видів ковбас і м’ясних виробів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Термічна обробка м'ясної сировини і продуктів сировини тваринного походження. Інноваційні розробки раціональної та ефективної термічної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обробки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Новітні технологічні схеми ферментативної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оброки сировини тваринного походження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4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</w:tr>
    </w:tbl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КОНТРОЛЮ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2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процесі оцінювання навчальних досягнень студентів з курсу 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Інноваційні харчові інгредієнти у технології м’ясних і м’ясомістких продуктів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застосовуються такі методи: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79"/>
          <w:tab w:val="left" w:leader="none" w:pos="3473"/>
          <w:tab w:val="left" w:leader="none" w:pos="5163"/>
          <w:tab w:val="left" w:leader="none" w:pos="7145"/>
          <w:tab w:val="left" w:leader="none" w:pos="8911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усного контролю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 опитування, фронтальне опитування, співбесіда, залік;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письмового контролю: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письмове тестування, модульна контрольна робота;</w:t>
      </w:r>
    </w:p>
    <w:p w:rsidR="00000000" w:rsidDel="00000000" w:rsidP="00000000" w:rsidRDefault="00000000" w:rsidRPr="00000000" w14:paraId="0000018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самоконтролю: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самооцінка, самоаналіз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СХЕМА НАРАХУВАННЯ БАЛІВ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73.000000000002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6"/>
        <w:gridCol w:w="1119"/>
        <w:gridCol w:w="851"/>
        <w:gridCol w:w="992"/>
        <w:gridCol w:w="709"/>
        <w:gridCol w:w="850"/>
        <w:gridCol w:w="851"/>
        <w:gridCol w:w="709"/>
        <w:gridCol w:w="850"/>
        <w:gridCol w:w="851"/>
        <w:gridCol w:w="637"/>
        <w:gridCol w:w="638"/>
        <w:tblGridChange w:id="0">
          <w:tblGrid>
            <w:gridCol w:w="1716"/>
            <w:gridCol w:w="1119"/>
            <w:gridCol w:w="851"/>
            <w:gridCol w:w="992"/>
            <w:gridCol w:w="709"/>
            <w:gridCol w:w="850"/>
            <w:gridCol w:w="851"/>
            <w:gridCol w:w="709"/>
            <w:gridCol w:w="850"/>
            <w:gridCol w:w="851"/>
            <w:gridCol w:w="637"/>
            <w:gridCol w:w="638"/>
          </w:tblGrid>
        </w:tblGridChange>
      </w:tblGrid>
      <w:tr>
        <w:trPr>
          <w:cantSplit w:val="1"/>
          <w:trHeight w:val="5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9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Кількість балів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ЗМ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ЗМ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Т7-8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Т9-10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Лекції (за бажанням) (0 б)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Практичні заняття (27 б)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Самостійна робота (13 б)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Поточний модульний контроль (30 б)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ІНДЗ (за планом)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Підсумковий  контроль (залік)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оцінювання: національна та ЄКTС</w:t>
      </w:r>
      <w:r w:rsidDel="00000000" w:rsidR="00000000" w:rsidRPr="00000000">
        <w:rPr>
          <w:rtl w:val="0"/>
        </w:rPr>
      </w:r>
    </w:p>
    <w:tbl>
      <w:tblPr>
        <w:tblStyle w:val="Table7"/>
        <w:tblW w:w="99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5"/>
        <w:gridCol w:w="4253"/>
        <w:gridCol w:w="1984"/>
        <w:gridCol w:w="1984"/>
        <w:tblGridChange w:id="0">
          <w:tblGrid>
            <w:gridCol w:w="1725"/>
            <w:gridCol w:w="4253"/>
            <w:gridCol w:w="1984"/>
            <w:gridCol w:w="1984"/>
          </w:tblGrid>
        </w:tblGridChange>
      </w:tblGrid>
      <w:tr>
        <w:trPr>
          <w:cantSplit w:val="1"/>
          <w:trHeight w:val="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EКTС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академії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національною шкалою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Екзамен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Залік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90–100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(відмінно)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3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(відмінно)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9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Зараховано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82–89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(дуже добре)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(добре)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75–81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(добре)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64–74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(задовільно)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(задовільно)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60–63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(достатньо)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35–59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(незадовільно – з можливістю повторного складання)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(незадовільно)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зараховано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1–34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(незадовільно – з обов’язковим повторним курсом)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" w:line="240" w:lineRule="auto"/>
        <w:ind w:left="190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РЕКОМЕНДОВАНА ЛІТЕРАТУРА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5"/>
        </w:tabs>
        <w:spacing w:after="0" w:before="1" w:line="240" w:lineRule="auto"/>
        <w:ind w:left="425" w:right="6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3"/>
        </w:tabs>
        <w:spacing w:after="0" w:before="0" w:line="240" w:lineRule="auto"/>
        <w:ind w:left="425" w:right="674" w:firstLine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Технологія м’яса та м’ясних продуктів/ Під ред. М. М. Клименка. – Київ: Вища освіта, 2006. – 640 с4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8"/>
        </w:tabs>
        <w:spacing w:after="0" w:before="0" w:line="240" w:lineRule="auto"/>
        <w:ind w:left="425" w:right="679" w:firstLine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Інноваційні технології якісних та безпечних м'ясних виробів [Текст] : монографія / Л. В. Баль-Прилипко. - К. : Видавничий центр НУБіП України, 2012.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0"/>
        </w:tabs>
        <w:spacing w:after="0" w:before="0" w:line="240" w:lineRule="auto"/>
        <w:ind w:left="425" w:right="673" w:firstLine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Актуальні проблеми м'ясопереробної галузі [Текст] : підручник для студ. ОКР "Магістр" спец. 8.091707 "Технологія зберігання, консервування та переробки м'яса", напряму підг. "Харчові технології та інженерія" / Л. В. Баль-Прилипко. - К. : "Комп'ютерно-видавничий інформаційний центр", 2011. - 288 с.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5" w:orient="portrait"/>
      <w:pgMar w:bottom="709" w:top="709" w:left="709" w:right="70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425" w:hanging="286"/>
      </w:pPr>
      <w:rPr>
        <w:rFonts w:ascii="Noto Sans Symbols" w:cs="Noto Sans Symbols" w:eastAsia="Noto Sans Symbols" w:hAnsi="Noto Sans Symbols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425" w:hanging="152"/>
      </w:pPr>
      <w:rPr>
        <w:rFonts w:ascii="Times New Roman" w:cs="Times New Roman" w:eastAsia="Times New Roman" w:hAnsi="Times New Roman"/>
        <w:b w:val="0"/>
        <w:i w:val="0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1816" w:hanging="15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514" w:hanging="15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212" w:hanging="15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910" w:hanging="15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609" w:hanging="15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5307" w:hanging="15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6005" w:hanging="152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425" w:hanging="30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351" w:hanging="360"/>
      </w:pPr>
      <w:rPr>
        <w:rFonts w:ascii="Times New Roman" w:cs="Times New Roman" w:eastAsia="Times New Roman" w:hAnsi="Times New Roman"/>
        <w:b w:val="1"/>
        <w:i w:val="0"/>
        <w:sz w:val="20"/>
        <w:szCs w:val="20"/>
        <w:vertAlign w:val="baseline"/>
      </w:rPr>
    </w:lvl>
    <w:lvl w:ilvl="2">
      <w:start w:val="0"/>
      <w:numFmt w:val="bullet"/>
      <w:lvlText w:val="•"/>
      <w:lvlJc w:val="left"/>
      <w:pPr>
        <w:ind w:left="425" w:hanging="293"/>
      </w:pPr>
      <w:rPr>
        <w:rFonts w:ascii="Times New Roman" w:cs="Times New Roman" w:eastAsia="Times New Roman" w:hAnsi="Times New Roman"/>
        <w:b w:val="0"/>
        <w:i w:val="0"/>
        <w:sz w:val="22"/>
        <w:szCs w:val="22"/>
        <w:vertAlign w:val="baseline"/>
      </w:rPr>
    </w:lvl>
    <w:lvl w:ilvl="3">
      <w:start w:val="0"/>
      <w:numFmt w:val="bullet"/>
      <w:lvlText w:val="•"/>
      <w:lvlJc w:val="left"/>
      <w:pPr>
        <w:ind w:left="2702" w:hanging="293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373" w:hanging="29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4045" w:hanging="29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716" w:hanging="29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5387" w:hanging="293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6059" w:hanging="293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before="200" w:line="276" w:lineRule="auto"/>
      <w:ind w:leftChars="-1" w:rightChars="0" w:firstLineChars="-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Заголовок5">
    <w:name w:val="Заголовок 5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6">
    <w:name w:val="Заголовок 6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paragraph" w:styleId="Заголовок7">
    <w:name w:val="Заголовок 7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before="200" w:line="276" w:lineRule="auto"/>
      <w:ind w:leftChars="-1" w:rightChars="0" w:firstLineChars="-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Заголовок2Знак">
    <w:name w:val="Заголовок 2 Знак"/>
    <w:basedOn w:val="Основнойшрифтабзаца"/>
    <w:next w:val="Заголовок2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styleId="Заголовок3Знак">
    <w:name w:val="Заголовок 3 Знак"/>
    <w:basedOn w:val="Основнойшрифтабзаца"/>
    <w:next w:val="Заголовок3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styleId="Заголовок4Знак">
    <w:name w:val="Заголовок 4 Знак"/>
    <w:basedOn w:val="Основнойшрифтабзаца"/>
    <w:next w:val="Заголовок4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Заголовок5Знак">
    <w:name w:val="Заголовок 5 Знак"/>
    <w:basedOn w:val="Основнойшрифтабзаца"/>
    <w:next w:val="Заголовок5Знак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styleId="Заголовок6Знак">
    <w:name w:val="Заголовок 6 Знак"/>
    <w:basedOn w:val="Основнойшрифтабзаца"/>
    <w:next w:val="Заголовок6Знак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effect w:val="none"/>
      <w:vertAlign w:val="baseline"/>
      <w:cs w:val="0"/>
      <w:em w:val="none"/>
      <w:lang w:eastAsia="ru-RU"/>
    </w:rPr>
  </w:style>
  <w:style w:type="character" w:styleId="Заголовок7Знак">
    <w:name w:val="Заголовок 7 Знак"/>
    <w:basedOn w:val="Основнойшрифтабзаца"/>
    <w:next w:val="Заголовок7Знак"/>
    <w:autoRedefine w:val="0"/>
    <w:hidden w:val="0"/>
    <w:qFormat w:val="0"/>
    <w:rPr>
      <w:rFonts w:ascii="Cambria" w:cs="Times New Roman" w:eastAsia="Times New Roman" w:hAnsi="Cambria"/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val="en-US"/>
    </w:rPr>
  </w:style>
  <w:style w:type="paragraph" w:styleId="TextBody">
    <w:name w:val="Text Body"/>
    <w:basedOn w:val="Обычный"/>
    <w:next w:val="TextBody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bidi="ar-SA" w:eastAsia="und" w:val="en-US"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Цитата">
    <w:name w:val="Цитата"/>
    <w:basedOn w:val="Обычный"/>
    <w:next w:val="Цитата"/>
    <w:autoRedefine w:val="0"/>
    <w:hidden w:val="0"/>
    <w:qFormat w:val="0"/>
    <w:pPr>
      <w:shd w:color="auto" w:fill="ffffff" w:val="clear"/>
      <w:suppressAutoHyphens w:val="1"/>
      <w:spacing w:line="360" w:lineRule="auto"/>
      <w:ind w:left="7" w:right="5" w:leftChars="-1" w:rightChars="0" w:firstLine="713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spacing w:val="-2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widowControl w:val="0"/>
      <w:suppressAutoHyphens w:val="1"/>
      <w:autoSpaceDE w:val="0"/>
      <w:autoSpaceDN w:val="0"/>
      <w:spacing w:line="439" w:lineRule="auto"/>
      <w:ind w:left="720" w:leftChars="-1" w:rightChars="0" w:hanging="340" w:firstLineChars="-1"/>
      <w:contextualSpacing w:val="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character" w:styleId="ОсновнойтекстсотступомЗнак">
    <w:name w:val="Основной текст с отступом Знак"/>
    <w:basedOn w:val="Основнойшрифтабзаца"/>
    <w:next w:val="ОсновнойтекстсотступомЗнак"/>
    <w:autoRedefine w:val="0"/>
    <w:hidden w:val="0"/>
    <w:qFormat w:val="0"/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styleId="Строгий">
    <w:name w:val="Строгий"/>
    <w:basedOn w:val="Основнойшрифтабзаца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Выделение">
    <w:name w:val="Выделение"/>
    <w:basedOn w:val="Основнойшрифтабзаца"/>
    <w:next w:val="Выделение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1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character" w:styleId="ОсновнойтекстЗнак">
    <w:name w:val="Основной текст Знак"/>
    <w:basedOn w:val="Основнойшрифтабзаца"/>
    <w:next w:val="Основнойтекст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ru-RU" w:val="ru-RU"/>
    </w:rPr>
  </w:style>
  <w:style w:type="paragraph" w:styleId="TableParagraph">
    <w:name w:val="Table Paragraph"/>
    <w:basedOn w:val="Обычный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k-UA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basedOn w:val="Основнойшрифтабзаца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khnnra.edu.ua/wp-content/uploads/2017/09/Polozennya_Pro_Kriter_Ocinuvan.pdf" TargetMode="External"/><Relationship Id="rId10" Type="http://schemas.openxmlformats.org/officeDocument/2006/relationships/hyperlink" Target="http://khnnra.edu.ua/wp-content/uploads/2017/09/Polozennya_Pro_Yakist.pdf" TargetMode="External"/><Relationship Id="rId13" Type="http://schemas.openxmlformats.org/officeDocument/2006/relationships/hyperlink" Target="http://khnnra.edu.ua/wp-content/uploads/2019/04/Poloz_Dobrochesn.pdf" TargetMode="External"/><Relationship Id="rId12" Type="http://schemas.openxmlformats.org/officeDocument/2006/relationships/hyperlink" Target="http://khnnra.edu.ua/wp-content/uploads/2017/09/Polozennya_Pro_Indiv_Graf_Navch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khnnra.edu.ua/wp-content/uploads/2017/09/Polozennya_Pro_Vibirkov_Disciplini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khnnra.edu.ua/wp-content/uploads/2017/09/Polozennya_Pro_Osvitn_Proces_02_12.pdf" TargetMode="External"/><Relationship Id="rId8" Type="http://schemas.openxmlformats.org/officeDocument/2006/relationships/hyperlink" Target="http://khnnra.edu.ua/wp-content/uploads/2017/09/Pollozen_Pro_Attestac_Sdobubach_Visch_Osvit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AaZd9bT+Mv9l+++9pwafhZAXrQ==">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2025-04-07T16:23:00Z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