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КОМУНАЛЬНИЙ ЗАКЛАД ВИЩОЇ ОСВІТИ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«ХОРТИЦЬКА НАЦІОНАЛЬНА НАВЧАЛЬНО-РЕАБІЛІТАЦІЙНА АКАДЕМІЯ»</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ЗАПОРІЗЬКОЇ ОБЛАСНОЇ РАДИ</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Освітня програма «Харчові технології»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першого (бакалаврського) рівня вищої освіти</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Спеціальність 181 Харчові технології</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СИЛАБУС НАВЧАЛЬНОЇ ДИСЦИПЛІНИ</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9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0"/>
        <w:gridCol w:w="8008"/>
        <w:tblGridChange w:id="0">
          <w:tblGrid>
            <w:gridCol w:w="1990"/>
            <w:gridCol w:w="8008"/>
          </w:tblGrid>
        </w:tblGridChange>
      </w:tblGrid>
      <w:tr>
        <w:trPr>
          <w:cantSplit w:val="0"/>
          <w:trHeight w:val="24" w:hRule="atLeast"/>
          <w:tblHeader w:val="0"/>
        </w:trPr>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Назва дисципліни</w:t>
            </w:r>
            <w:r w:rsidDel="00000000" w:rsidR="00000000" w:rsidRPr="00000000">
              <w:rPr>
                <w:rtl w:val="0"/>
              </w:rPr>
            </w:r>
          </w:p>
        </w:tc>
        <w:tc>
          <w:tcP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Контроль якості і безпеки харчових продуктів</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Викладач</w:t>
            </w: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Завгородній Михайло Петрович</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кандидат біологічних наук</w:t>
            </w:r>
          </w:p>
        </w:tc>
      </w:tr>
      <w:tr>
        <w:trPr>
          <w:cantSplit w:val="0"/>
          <w:trHeight w:val="24" w:hRule="atLeast"/>
          <w:tblHeader w:val="0"/>
        </w:trPr>
        <w:tc>
          <w:tcP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Контактний телефон</w:t>
            </w:r>
            <w:r w:rsidDel="00000000" w:rsidR="00000000" w:rsidRPr="00000000">
              <w:rPr>
                <w:rtl w:val="0"/>
              </w:rPr>
            </w:r>
          </w:p>
        </w:tc>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0636305264</w:t>
            </w:r>
          </w:p>
        </w:tc>
      </w:tr>
      <w:tr>
        <w:trPr>
          <w:cantSplit w:val="0"/>
          <w:trHeight w:val="24" w:hRule="atLeast"/>
          <w:tblHeader w:val="0"/>
        </w:trPr>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Посилання</w:t>
            </w:r>
            <w:r w:rsidDel="00000000" w:rsidR="00000000" w:rsidRPr="00000000">
              <w:rPr>
                <w:rtl w:val="0"/>
              </w:rPr>
            </w:r>
          </w:p>
        </w:tc>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red"/>
                <w:u w:val="none"/>
                <w:vertAlign w:val="baseline"/>
                <w:rtl w:val="0"/>
              </w:rPr>
              <w:t xml:space="preserve">!</w:t>
            </w:r>
            <w:r w:rsidDel="00000000" w:rsidR="00000000" w:rsidRPr="00000000">
              <w:rPr>
                <w:rtl w:val="0"/>
              </w:rPr>
            </w:r>
          </w:p>
        </w:tc>
      </w:tr>
      <w:tr>
        <w:trPr>
          <w:cantSplit w:val="0"/>
          <w:trHeight w:val="24" w:hRule="atLeast"/>
          <w:tblHeader w:val="0"/>
        </w:trPr>
        <w:tc>
          <w:tcPr>
            <w:tcBorders>
              <w:bottom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Консультації</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Очні консультації: за попередньою домовленістю четвер з 9.00 до 17.00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Онлайн консультації: за попередньою домовленістю Viber (0636305264) в робочі дні з 9.00 до 17.00</w:t>
            </w:r>
          </w:p>
        </w:tc>
      </w:tr>
      <w:tr>
        <w:trPr>
          <w:cantSplit w:val="0"/>
          <w:trHeight w:val="24" w:hRule="atLeast"/>
          <w:tblHeader w:val="0"/>
        </w:trPr>
        <w:tc>
          <w:tcPr>
            <w:tcBorders>
              <w:left w:color="000000" w:space="0" w:sz="0" w:val="nil"/>
              <w:right w:color="000000" w:space="0" w:sz="0" w:val="nil"/>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Анотація</w:t>
            </w: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Програму вивчення навчальної дисципліни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Контроль якості і безпеки харчових продуктів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розроблено відповідно до освітньо-професійної програми підготовки першого (бакалаврського) рівня вищої освіти спеціальності 181 Харчові технології  галузі знань 18 Виробництво та технології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кваліфікація: бакалавр з харчових технологій</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Предметом</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вивчення курсу є правові, економічні та організаційні аспекти забезпечення безпеки та сучасні методи оцінки харчових продуктів за показниками безпеки, організаційні аспекти забезпечення безпеки та експертизи продовольчої сировини і товарів за показниками безпеки, контроль проходження технологічних процесів виробництва, всіх хімічних і фізичних змін, які проходять в сировині та напівфабрикатах на всіх стадіях технологічного процесу.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Міждисциплінарні зв’язки:</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Забезпечуючі дисципліни: «Загальна та неорганічна хімія», «Органічна хімія», «Аналітична хімія», «Фізична та колоїдна хімія», «Загальна мікробіологія».</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Забезпечувані дисципліни: «Харчова хімія», «Мікробіологія харчових продуктів». «Харчові добавки», «Технологія харчових виробництв», «Штучні продукти харчування», «Проектування харчових підприємств», «Технології харчових виробництв».</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Програма навчальної дисципліни складається з таких модулів:</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 1.  Система контролю якості.</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36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 2. Контроль якості і безпечності продукції тваринництва і рослинного походження.</w:t>
            </w:r>
          </w:p>
        </w:tc>
      </w:tr>
      <w:tr>
        <w:trPr>
          <w:cantSplit w:val="0"/>
          <w:trHeight w:val="24" w:hRule="atLeast"/>
          <w:tblHeader w:val="0"/>
        </w:trPr>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Заплановані результати навчання</w:t>
            </w:r>
            <w:r w:rsidDel="00000000" w:rsidR="00000000" w:rsidRPr="00000000">
              <w:rPr>
                <w:rtl w:val="0"/>
              </w:rPr>
            </w:r>
          </w:p>
        </w:tc>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Мета навчального курсу:</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засвоєння студентами знань з правових, економічних та організаційних аспектів забезпечення безпеки та оволодіння практичними навичками оцінки харчових продуктів за показниками безпеки, оволодіння студентами організаційних аспектів забезпечення безпеки та практичними навичками експертизи продовольчої сировини і товарів за показниками безпеки, забезпечити необхідний рівень знань студентів для контролю проходження технологічних процесів виробництва, всіх хімічних і фізичних змін, які проходять в сировині та напівфабрикатах на всіх стадіях технологічного процесу.</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формування професійної кваліфікації фахівців з харчових технологій.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4"/>
              </w:tabs>
              <w:spacing w:after="0" w:before="0" w:line="240" w:lineRule="auto"/>
              <w:ind w:left="0" w:right="0" w:firstLine="35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авдання дисципліни:</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4"/>
              </w:tabs>
              <w:spacing w:after="0" w:before="0" w:line="240" w:lineRule="auto"/>
              <w:ind w:left="0" w:right="0" w:firstLine="35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Основним завданням вивчення навчальної дисципліни є:</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4" w:lineRule="auto"/>
              <w:ind w:left="0" w:right="78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знати і розуміти основні концепції, теоретичні та практичні проблеми в галузі харчових технологій;</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4" w:lineRule="auto"/>
              <w:ind w:left="0" w:right="92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виявляти творчу ініціативу та підвищувати свій професійний рівень шляхом продовження освіти та самоосвіти;</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впроваджувати системи управління якістю та безпечністю харчових продуктів;</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визначати відповідність показників якості сировини, напівфабрикатів і готової продукції нормативним вимогам за допомогою сучасних методів аналізу (або контролю).</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8"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вміти використовувати покажчики, стандарти, регламенти, законодавчі акти України, визначати ступінь їх гармонізації, проводити оцінку</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відповідності продукції відповідно до міжнародних вимог.</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5"/>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розуміти загальні принципи перетворення елементів в різних харчових технологіях;</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4"/>
              </w:tabs>
              <w:spacing w:after="0" w:before="0" w:line="240" w:lineRule="auto"/>
              <w:ind w:left="0" w:right="0" w:firstLine="21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35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Згідно з вимогами освітньої (освітньо-професійної, освітньо-наукової ) програми студенти  повинні досягнути таких результатів навчання (компетентностей):</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12"/>
              </w:tabs>
              <w:spacing w:after="0" w:before="0" w:line="234" w:lineRule="auto"/>
              <w:ind w:left="53" w:right="139"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знати: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сучасні концепції управління якістю та безпечності харчових продуктів;  нормативно-законодавчу базу, як основу якості та безпечності сучасних технологічних процесів переробки продукції тваринництва, продукції рослинного походженняї</w:t>
            </w:r>
            <w:bookmarkStart w:colFirst="0" w:colLast="0" w:name="bookmark=id.p6b78po12d6r"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сучасні  осягнення і перспективні напрями досліджень в області контролю якості та безпечності продукції тваринництва та рослинного походження; можливі відхилення технологічного і мікробіологічного походження у протіканні вказаних процесів, їх причини та вплив на якість продукції і виникнення вад; вплив особливостей складу і  властивостей сировини, її мікрофлори та основних груп спеціальних мікроорганізмів, що використовуються у її виробництві, на якість готових продуктів; показники якості сировини, напівфабрикатів і готової продукції харчової промисловості.</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компетенції: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оцінювати якість та безпеку сировини, напівфабрикатів та готової продукції харчового виробництва відповідно до нормативних вимог;застосовувати системи запобігання виникнення ризиків при переробці продукції тваринництва та продукції рослинного походження; проводити контроль якості та безпечності тваринницької сировини, що надходить на переробне підприємство; проводити моніторинг протікання технологічних процесів первинної обробки та переробки продукції тваринництва та рослинного походження; проводити контроль якості та безпечності готової продукції, упаковки, маркування і порядку випуску продукції з переробного підприємства; використовувати методи аналізу для контролю харчових продуктів; здатність застосовувати отримані знання у професійній діяльності, здатність аналізувати і робити висновки з отриманого дослідницького матеріалу.</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 процесі засвоєння дисципліни студент має набути таких соціальних навичок (soft-skills):</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уміння комунікувати в професійній діяльності з науковцями відповідних галузей;</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-донесення до фахівців і нефахівців інформації та власного досвіду про якість та безпеку сировини, напівфабрикатів та готової продукції харчового виробництва відповідно до нормативних вимог;застосовувати системи запобігання виникнення ризиків при переробці продукції тваринництва та продукції рослинного походження;</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уміння проводити контроль якості та безпечності тваринницької сировини, що надходить на переробне підприємство; проводити моніторинг протікання технологічних процесів первинної обробки та переробки продукції тваринництва та рослинного походження; проводити контроль якості та безпечності готової продукції, упаковки, маркування і порядку випуску продукції з переробного підприємства;</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використовувати методи аналізу для контролю харчових продуктів;</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здатність співпрацювати з фахівцями інших галузей знань, робити фаховий внесок у колективну роботу в рамках комплексних проектів;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здатність до спільного вироблення стратегій вирішення проблем оптимізації харчових технологій та покращенням якості готової продукції;</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уміння донесення інформації до фахівців і нефахівців з проблемних питань про можливі відхилення технологічного і мікробіологічного походження у протіканні вказаних процесів, їх причини та вплив на якість продукції і виникнення вад; вплив особливостей складу і  властивостей сировини, її мікрофлори та основних груп спеціальних мікроорганізмів, що використовуються у її виробництві, на якість готових продуктів; показники якості сировини, напівфабрикатів і готової продукції харчової промисловості;</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5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дотримуватись етичних принципів комунікації та культури у професійній діяльності.</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5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Політика дисципліни</w:t>
            </w:r>
            <w:r w:rsidDel="00000000" w:rsidR="00000000" w:rsidRPr="00000000">
              <w:rPr>
                <w:rtl w:val="0"/>
              </w:rPr>
            </w:r>
          </w:p>
        </w:tc>
        <w:tc>
          <w:tcP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 організації освітнього процесу в Хортицькій національній академії студенти, викладачі, методисти та адміністрація діють відповідно до: </w:t>
            </w:r>
            <w:hyperlink r:id="rId7">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організацію освітнього процесу</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атестацію здобувачів вищої освіти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вибіркові дисципліни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систему внутрішнього забезпечення якості освіти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1">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критерії оцінювання знань студентів</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2">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переведення на індивідуальний графік навчання студентів денної форми навчання</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3">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академічну доброчесність</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ОПИС НАВЧАЛЬНОЇ ДИСЦИПЛІНИ</w:t>
      </w:r>
    </w:p>
    <w:tbl>
      <w:tblPr>
        <w:tblStyle w:val="Table2"/>
        <w:tblW w:w="10065.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880"/>
        <w:gridCol w:w="2551"/>
        <w:gridCol w:w="1545"/>
        <w:gridCol w:w="2089"/>
        <w:tblGridChange w:id="0">
          <w:tblGrid>
            <w:gridCol w:w="3880"/>
            <w:gridCol w:w="2551"/>
            <w:gridCol w:w="1545"/>
            <w:gridCol w:w="2089"/>
          </w:tblGrid>
        </w:tblGridChange>
      </w:tblGrid>
      <w:tr>
        <w:trPr>
          <w:cantSplit w:val="1"/>
          <w:trHeight w:val="29" w:hRule="atLeast"/>
          <w:tblHeader w:val="0"/>
        </w:trPr>
        <w:tc>
          <w:tcPr>
            <w:vMerge w:val="restart"/>
            <w:tcMar>
              <w:left w:w="108.0" w:type="dxa"/>
            </w:tcM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Найменування показників</w:t>
            </w:r>
          </w:p>
        </w:tc>
        <w:tc>
          <w:tcPr>
            <w:vMerge w:val="restart"/>
            <w:tcMar>
              <w:left w:w="108.0" w:type="dxa"/>
            </w:tcM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 спеціальність,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tc>
        <w:tc>
          <w:tcPr>
            <w:gridSpan w:val="2"/>
            <w:tcMar>
              <w:left w:w="108.0" w:type="dxa"/>
            </w:tcM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навчальної дисципліни</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форма навчання</w:t>
            </w:r>
          </w:p>
        </w:tc>
        <w:tc>
          <w:tcPr>
            <w:tcMar>
              <w:left w:w="108.0" w:type="dxa"/>
            </w:tcMa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денна</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кредитів – 5</w:t>
            </w:r>
          </w:p>
        </w:tc>
        <w:tc>
          <w:tcPr>
            <w:tcMar>
              <w:left w:w="108.0" w:type="dxa"/>
            </w:tcMa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 Виробництво та технології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Нормативна</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Спеціальність 181 Харчові технології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Семестр</w:t>
            </w:r>
          </w:p>
        </w:tc>
        <w:tc>
          <w:tcPr>
            <w:tcMar>
              <w:left w:w="108.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r>
      <w:tr>
        <w:trPr>
          <w:cantSplit w:val="1"/>
          <w:trHeight w:val="29" w:hRule="atLeast"/>
          <w:tblHeader w:val="0"/>
        </w:trPr>
        <w:tc>
          <w:tcPr>
            <w:tcMar>
              <w:left w:w="108.0" w:type="dxa"/>
            </w:tcM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Модулів – 2</w:t>
            </w:r>
          </w:p>
        </w:tc>
        <w:tc>
          <w:tcPr>
            <w:vMerge w:val="restart"/>
            <w:tcMar>
              <w:left w:w="108.0" w:type="dxa"/>
            </w:tcM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Бакалавр</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Аудиторні години: 60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Змістових модулів – 2</w:t>
            </w:r>
          </w:p>
        </w:tc>
        <w:tc>
          <w:tcPr>
            <w:vMerge w:val="continue"/>
            <w:tcMar>
              <w:left w:w="108.0"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tcMar>
              <w:left w:w="108.0" w:type="dxa"/>
            </w:tcMa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Лекції:</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40 год. </w:t>
            </w:r>
          </w:p>
        </w:tc>
        <w:tc>
          <w:tcPr>
            <w:tcMar>
              <w:left w:w="108.0" w:type="dxa"/>
            </w:tcMa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Практичні, семінарські: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Загальна кількість годин – 150</w:t>
            </w:r>
          </w:p>
        </w:tc>
        <w:tc>
          <w:tcPr>
            <w:vMerge w:val="continue"/>
            <w:tcMar>
              <w:left w:w="108.0"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Лабораторні:</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 год.</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Тижневих годин для денної форми навчання:</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аудиторних – 3</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самостійної роботи студента – 4</w:t>
            </w:r>
          </w:p>
        </w:tc>
        <w:tc>
          <w:tcPr>
            <w:vMerge w:val="continue"/>
            <w:tcMar>
              <w:left w:w="108.0"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Самостійна робота 90 год</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Модульний контроль</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Вид контролю: екзамен</w:t>
            </w:r>
          </w:p>
        </w:tc>
      </w:tr>
    </w:tb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ПРОГРАМА НАВЧАЛЬНОЇ ДИСЦИПЛІНИ</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Система контролю якості.</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 Система контролю якості продукції.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Обєкти  та суб’єкти контролю якості. Правова основа контролю якості. Загальні принципи безпеки харчових продуктів.</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sectPr>
          <w:pgSz w:h="16838" w:w="11900" w:orient="portrait"/>
          <w:pgMar w:bottom="328" w:top="859" w:left="1060" w:right="506" w:header="0" w:footer="0"/>
          <w:pgNumType w:start="1"/>
        </w:sect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2273300</wp:posOffset>
                </wp:positionH>
                <wp:positionV relativeFrom="paragraph">
                  <wp:posOffset>-2552699</wp:posOffset>
                </wp:positionV>
                <wp:extent cx="12065" cy="13335"/>
                <wp:effectExtent b="0" l="0" r="0" t="0"/>
                <wp:wrapNone/>
                <wp:docPr id="19" name=""/>
                <a:graphic>
                  <a:graphicData uri="http://schemas.microsoft.com/office/word/2010/wordprocessingShape">
                    <wps:wsp>
                      <wps:cNvSpPr/>
                      <wps:cNvPr id="20" name="Shape 20"/>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2273300</wp:posOffset>
                </wp:positionH>
                <wp:positionV relativeFrom="paragraph">
                  <wp:posOffset>-2552699</wp:posOffset>
                </wp:positionV>
                <wp:extent cx="12065" cy="13335"/>
                <wp:effectExtent b="0" l="0" r="0" t="0"/>
                <wp:wrapNone/>
                <wp:docPr id="19"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4864100</wp:posOffset>
                </wp:positionH>
                <wp:positionV relativeFrom="paragraph">
                  <wp:posOffset>-2552699</wp:posOffset>
                </wp:positionV>
                <wp:extent cx="12065" cy="22860"/>
                <wp:effectExtent b="0" l="0" r="0" t="0"/>
                <wp:wrapNone/>
                <wp:docPr id="21" name=""/>
                <a:graphic>
                  <a:graphicData uri="http://schemas.microsoft.com/office/word/2010/wordprocessingShape">
                    <wps:wsp>
                      <wps:cNvSpPr/>
                      <wps:cNvPr id="22" name="Shape 22"/>
                      <wps:spPr>
                        <a:xfrm>
                          <a:off x="5339968" y="3768570"/>
                          <a:ext cx="12065" cy="228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4864100</wp:posOffset>
                </wp:positionH>
                <wp:positionV relativeFrom="paragraph">
                  <wp:posOffset>-2552699</wp:posOffset>
                </wp:positionV>
                <wp:extent cx="12065" cy="22860"/>
                <wp:effectExtent b="0" l="0" r="0" t="0"/>
                <wp:wrapNone/>
                <wp:docPr id="21" name="image21.png"/>
                <a:graphic>
                  <a:graphicData uri="http://schemas.openxmlformats.org/drawingml/2006/picture">
                    <pic:pic>
                      <pic:nvPicPr>
                        <pic:cNvPr id="0" name="image21.png"/>
                        <pic:cNvPicPr preferRelativeResize="0"/>
                      </pic:nvPicPr>
                      <pic:blipFill>
                        <a:blip r:embed="rId14"/>
                        <a:srcRect/>
                        <a:stretch>
                          <a:fillRect/>
                        </a:stretch>
                      </pic:blipFill>
                      <pic:spPr>
                        <a:xfrm>
                          <a:off x="0" y="0"/>
                          <a:ext cx="12065" cy="22860"/>
                        </a:xfrm>
                        <a:prstGeom prst="rect"/>
                        <a:ln/>
                      </pic:spPr>
                    </pic:pic>
                  </a:graphicData>
                </a:graphic>
              </wp:anchor>
            </w:drawing>
          </mc:Fallback>
        </mc:AlternateContent>
      </w:r>
    </w:p>
    <w:bookmarkStart w:colFirst="0" w:colLast="0" w:name="bookmark=id.uxeejlfyirz5" w:id="1"/>
    <w:bookmarkEnd w:id="1"/>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 Контроль якості і безпека продуктів харчування в ЕС.</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Якість продуктів харчування як національна ідея. Контроль за безпекою продуктів харчування. Проблеми ідентифікації та фальсифікації харчових продуктів. Основні системи забезпечення якості та безпеки мясної продукції. Санітарні правили та норми по застосуванню харчових добавок. Гігіієнічні та генетичні аспекти застосування харчових добавок. Дозволені рівні споживання харчоих добавок.</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Методи оцінки і контролю якості продукції галузі.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показники харчової цінності та безпеки харчової продукції. Методологія контролю якост харчової продукції.</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2" w:right="111" w:firstLine="708"/>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Фізичні, хімічні та фізико-хімічні методи оцінки якості продукції.</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2"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2"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Сучасні фізичні, хімічні та фізико-хімічні методи оцінки якості продукції. Сучасні прилади та реактиви. Приклади аналітичних реакцій.ї</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6"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Безпечність харчових продуктів</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Мікотоксини. Радіактивне забруднення. Пестициди. Нітрати, нітрити, нітрозо аміни. Харчові добавки</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Загальні теоретичні положення гідролізу солей. кількісні характеристики гідролізу та фактори, що на них впливають. Реакція середовища, як налсідок гідролізу. роль процесів гідролізу в харчових технологіях.</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4" w:line="240" w:lineRule="auto"/>
        <w:ind w:left="0" w:right="113"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2.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Контроль якості і безпечності продукції тваринництва і рослинного походження.</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Контроль якості та безпеки продукції тваринництва..</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Основа контролю якості та безпечності продукції тваринництва. Якість агропромислової продукції як об’єкт управління. Фактори формування та забезпечення якості агропромислової продукції.</w:t>
      </w:r>
    </w:p>
    <w:bookmarkStart w:colFirst="0" w:colLast="0" w:name="bookmark=id.agh5kgxafsfu" w:id="2"/>
    <w:bookmarkEnd w:id="2"/>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5486400</wp:posOffset>
                </wp:positionH>
                <wp:positionV relativeFrom="paragraph">
                  <wp:posOffset>-2806699</wp:posOffset>
                </wp:positionV>
                <wp:extent cx="22225" cy="22860"/>
                <wp:effectExtent b="0" l="0" r="0" t="0"/>
                <wp:wrapNone/>
                <wp:docPr id="16" name=""/>
                <a:graphic>
                  <a:graphicData uri="http://schemas.microsoft.com/office/word/2010/wordprocessingShape">
                    <wps:wsp>
                      <wps:cNvSpPr/>
                      <wps:cNvPr id="17" name="Shape 17"/>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5486400</wp:posOffset>
                </wp:positionH>
                <wp:positionV relativeFrom="paragraph">
                  <wp:posOffset>-2806699</wp:posOffset>
                </wp:positionV>
                <wp:extent cx="22225" cy="22860"/>
                <wp:effectExtent b="0" l="0" r="0" t="0"/>
                <wp:wrapNone/>
                <wp:docPr id="16" name="image16.png"/>
                <a:graphic>
                  <a:graphicData uri="http://schemas.openxmlformats.org/drawingml/2006/picture">
                    <pic:pic>
                      <pic:nvPicPr>
                        <pic:cNvPr id="0" name="image16.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-2806699</wp:posOffset>
                </wp:positionV>
                <wp:extent cx="22225" cy="22860"/>
                <wp:effectExtent b="0" l="0" r="0" t="0"/>
                <wp:wrapNone/>
                <wp:docPr id="17" name=""/>
                <a:graphic>
                  <a:graphicData uri="http://schemas.microsoft.com/office/word/2010/wordprocessingShape">
                    <wps:wsp>
                      <wps:cNvSpPr/>
                      <wps:cNvPr id="18" name="Shape 18"/>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-2806699</wp:posOffset>
                </wp:positionV>
                <wp:extent cx="22225" cy="22860"/>
                <wp:effectExtent b="0" l="0" r="0" t="0"/>
                <wp:wrapNone/>
                <wp:docPr id="17" name="image17.png"/>
                <a:graphic>
                  <a:graphicData uri="http://schemas.openxmlformats.org/drawingml/2006/picture">
                    <pic:pic>
                      <pic:nvPicPr>
                        <pic:cNvPr id="0" name="image17.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6184900</wp:posOffset>
                </wp:positionH>
                <wp:positionV relativeFrom="paragraph">
                  <wp:posOffset>-2806699</wp:posOffset>
                </wp:positionV>
                <wp:extent cx="12065" cy="13335"/>
                <wp:effectExtent b="0" l="0" r="0" t="0"/>
                <wp:wrapNone/>
                <wp:docPr id="14" name=""/>
                <a:graphic>
                  <a:graphicData uri="http://schemas.microsoft.com/office/word/2010/wordprocessingShape">
                    <wps:wsp>
                      <wps:cNvSpPr/>
                      <wps:cNvPr id="15" name="Shape 15"/>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6184900</wp:posOffset>
                </wp:positionH>
                <wp:positionV relativeFrom="paragraph">
                  <wp:posOffset>-2806699</wp:posOffset>
                </wp:positionV>
                <wp:extent cx="12065" cy="13335"/>
                <wp:effectExtent b="0" l="0" r="0" t="0"/>
                <wp:wrapNone/>
                <wp:docPr id="14"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2273300</wp:posOffset>
                </wp:positionH>
                <wp:positionV relativeFrom="paragraph">
                  <wp:posOffset>-2806699</wp:posOffset>
                </wp:positionV>
                <wp:extent cx="12065" cy="13335"/>
                <wp:effectExtent b="0" l="0" r="0" t="0"/>
                <wp:wrapNone/>
                <wp:docPr id="24" name=""/>
                <a:graphic>
                  <a:graphicData uri="http://schemas.microsoft.com/office/word/2010/wordprocessingShape">
                    <wps:wsp>
                      <wps:cNvSpPr/>
                      <wps:cNvPr id="25" name="Shape 25"/>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2273300</wp:posOffset>
                </wp:positionH>
                <wp:positionV relativeFrom="paragraph">
                  <wp:posOffset>-2806699</wp:posOffset>
                </wp:positionV>
                <wp:extent cx="12065" cy="13335"/>
                <wp:effectExtent b="0" l="0" r="0" t="0"/>
                <wp:wrapNone/>
                <wp:docPr id="24" name="image24.png"/>
                <a:graphic>
                  <a:graphicData uri="http://schemas.openxmlformats.org/drawingml/2006/picture">
                    <pic:pic>
                      <pic:nvPicPr>
                        <pic:cNvPr id="0" name="image24.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2667000</wp:posOffset>
                </wp:positionH>
                <wp:positionV relativeFrom="paragraph">
                  <wp:posOffset>-2806699</wp:posOffset>
                </wp:positionV>
                <wp:extent cx="22225" cy="22860"/>
                <wp:effectExtent b="0" l="0" r="0" t="0"/>
                <wp:wrapNone/>
                <wp:docPr id="26" name=""/>
                <a:graphic>
                  <a:graphicData uri="http://schemas.microsoft.com/office/word/2010/wordprocessingShape">
                    <wps:wsp>
                      <wps:cNvSpPr/>
                      <wps:cNvPr id="27" name="Shape 27"/>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2667000</wp:posOffset>
                </wp:positionH>
                <wp:positionV relativeFrom="paragraph">
                  <wp:posOffset>-2806699</wp:posOffset>
                </wp:positionV>
                <wp:extent cx="22225" cy="22860"/>
                <wp:effectExtent b="0" l="0" r="0" t="0"/>
                <wp:wrapNone/>
                <wp:docPr id="26" name="image26.png"/>
                <a:graphic>
                  <a:graphicData uri="http://schemas.openxmlformats.org/drawingml/2006/picture">
                    <pic:pic>
                      <pic:nvPicPr>
                        <pic:cNvPr id="0" name="image26.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3048000</wp:posOffset>
                </wp:positionH>
                <wp:positionV relativeFrom="paragraph">
                  <wp:posOffset>-2806699</wp:posOffset>
                </wp:positionV>
                <wp:extent cx="22225" cy="22860"/>
                <wp:effectExtent b="0" l="0" r="0" t="0"/>
                <wp:wrapNone/>
                <wp:docPr id="28" name=""/>
                <a:graphic>
                  <a:graphicData uri="http://schemas.microsoft.com/office/word/2010/wordprocessingShape">
                    <wps:wsp>
                      <wps:cNvSpPr/>
                      <wps:cNvPr id="29" name="Shape 29"/>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3048000</wp:posOffset>
                </wp:positionH>
                <wp:positionV relativeFrom="paragraph">
                  <wp:posOffset>-2806699</wp:posOffset>
                </wp:positionV>
                <wp:extent cx="22225" cy="22860"/>
                <wp:effectExtent b="0" l="0" r="0" t="0"/>
                <wp:wrapNone/>
                <wp:docPr id="28" name="image28.png"/>
                <a:graphic>
                  <a:graphicData uri="http://schemas.openxmlformats.org/drawingml/2006/picture">
                    <pic:pic>
                      <pic:nvPicPr>
                        <pic:cNvPr id="0" name="image28.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3479800</wp:posOffset>
                </wp:positionH>
                <wp:positionV relativeFrom="paragraph">
                  <wp:posOffset>-2806699</wp:posOffset>
                </wp:positionV>
                <wp:extent cx="12065" cy="13335"/>
                <wp:effectExtent b="0" l="0" r="0" t="0"/>
                <wp:wrapNone/>
                <wp:docPr id="1" name=""/>
                <a:graphic>
                  <a:graphicData uri="http://schemas.microsoft.com/office/word/2010/wordprocessingShape">
                    <wps:wsp>
                      <wps:cNvSpPr/>
                      <wps:cNvPr id="2" name="Shape 2"/>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3479800</wp:posOffset>
                </wp:positionH>
                <wp:positionV relativeFrom="paragraph">
                  <wp:posOffset>-2806699</wp:posOffset>
                </wp:positionV>
                <wp:extent cx="12065" cy="13335"/>
                <wp:effectExtent b="0" l="0" r="0" t="0"/>
                <wp:wrapNone/>
                <wp:docPr id="1"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3860800</wp:posOffset>
                </wp:positionH>
                <wp:positionV relativeFrom="paragraph">
                  <wp:posOffset>-2806699</wp:posOffset>
                </wp:positionV>
                <wp:extent cx="22225" cy="22860"/>
                <wp:effectExtent b="0" l="0" r="0" t="0"/>
                <wp:wrapNone/>
                <wp:docPr id="2" name=""/>
                <a:graphic>
                  <a:graphicData uri="http://schemas.microsoft.com/office/word/2010/wordprocessingShape">
                    <wps:wsp>
                      <wps:cNvSpPr/>
                      <wps:cNvPr id="3" name="Shape 3"/>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3860800</wp:posOffset>
                </wp:positionH>
                <wp:positionV relativeFrom="paragraph">
                  <wp:posOffset>-2806699</wp:posOffset>
                </wp:positionV>
                <wp:extent cx="22225" cy="22860"/>
                <wp:effectExtent b="0" l="0" r="0" t="0"/>
                <wp:wrapNone/>
                <wp:docPr id="2"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4241800</wp:posOffset>
                </wp:positionH>
                <wp:positionV relativeFrom="paragraph">
                  <wp:posOffset>-2806699</wp:posOffset>
                </wp:positionV>
                <wp:extent cx="12065" cy="13335"/>
                <wp:effectExtent b="0" l="0" r="0" t="0"/>
                <wp:wrapNone/>
                <wp:docPr id="3" name=""/>
                <a:graphic>
                  <a:graphicData uri="http://schemas.microsoft.com/office/word/2010/wordprocessingShape">
                    <wps:wsp>
                      <wps:cNvSpPr/>
                      <wps:cNvPr id="4" name="Shape 4"/>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4241800</wp:posOffset>
                </wp:positionH>
                <wp:positionV relativeFrom="paragraph">
                  <wp:posOffset>-2806699</wp:posOffset>
                </wp:positionV>
                <wp:extent cx="12065" cy="13335"/>
                <wp:effectExtent b="0" l="0" r="0" t="0"/>
                <wp:wrapNone/>
                <wp:docPr id="3"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4864100</wp:posOffset>
                </wp:positionH>
                <wp:positionV relativeFrom="paragraph">
                  <wp:posOffset>-2806699</wp:posOffset>
                </wp:positionV>
                <wp:extent cx="12065" cy="13335"/>
                <wp:effectExtent b="0" l="0" r="0" t="0"/>
                <wp:wrapNone/>
                <wp:docPr id="4" name=""/>
                <a:graphic>
                  <a:graphicData uri="http://schemas.microsoft.com/office/word/2010/wordprocessingShape">
                    <wps:wsp>
                      <wps:cNvSpPr/>
                      <wps:cNvPr id="5" name="Shape 5"/>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4864100</wp:posOffset>
                </wp:positionH>
                <wp:positionV relativeFrom="paragraph">
                  <wp:posOffset>-2806699</wp:posOffset>
                </wp:positionV>
                <wp:extent cx="12065" cy="13335"/>
                <wp:effectExtent b="0" l="0" r="0" t="0"/>
                <wp:wrapNone/>
                <wp:docPr id="4"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5143500</wp:posOffset>
                </wp:positionH>
                <wp:positionV relativeFrom="paragraph">
                  <wp:posOffset>-2806699</wp:posOffset>
                </wp:positionV>
                <wp:extent cx="12065" cy="13335"/>
                <wp:effectExtent b="0" l="0" r="0" t="0"/>
                <wp:wrapNone/>
                <wp:docPr id="5" name=""/>
                <a:graphic>
                  <a:graphicData uri="http://schemas.microsoft.com/office/word/2010/wordprocessingShape">
                    <wps:wsp>
                      <wps:cNvSpPr/>
                      <wps:cNvPr id="6" name="Shape 6"/>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5143500</wp:posOffset>
                </wp:positionH>
                <wp:positionV relativeFrom="paragraph">
                  <wp:posOffset>-2806699</wp:posOffset>
                </wp:positionV>
                <wp:extent cx="12065" cy="13335"/>
                <wp:effectExtent b="0" l="0" r="0" t="0"/>
                <wp:wrapNone/>
                <wp:docPr id="5"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6"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 Правова основа контролю якості та безпечності харчових продуктів..</w:t>
        <w:tab/>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Правова основа контролю якості та безпечності харчових продуктів тваринництва. Обєкт і структура кваліметрії, як науки про вимірювання і кількісне оцінювання якості продукції. Принципи і задачі кваліметрії. Проблема якості продуктів харчування. Показники якості продукції.</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Контроль якості та безпеки продукції рослинного походження.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положення Закону України, щодо контролю виробництва продуктів рослинного походження, що контролюють виробництво для забезпечення випуску якісної та безпечної продовольчої продукції. Небезпечні хімічні сполуки, що можуть мати місце в продуктах рослинного походження. Геннетично модифікована рослинна продукція.</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 Система управління безпекою харчових продуктів.</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положення НАССР</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Поняття системи НАССР. ЇЇ використання пи оцінки якості продуктів харчування.</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СТРУКТУРА НАВЧАЛЬНОЇ ДИСЦИПЛІНИ</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tl w:val="0"/>
        </w:rPr>
      </w:r>
    </w:p>
    <w:tbl>
      <w:tblPr>
        <w:tblStyle w:val="Table3"/>
        <w:tblW w:w="1027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3"/>
        <w:gridCol w:w="1490"/>
        <w:gridCol w:w="569"/>
        <w:gridCol w:w="740"/>
        <w:gridCol w:w="958"/>
        <w:gridCol w:w="880"/>
        <w:gridCol w:w="935"/>
        <w:tblGridChange w:id="0">
          <w:tblGrid>
            <w:gridCol w:w="4703"/>
            <w:gridCol w:w="1490"/>
            <w:gridCol w:w="569"/>
            <w:gridCol w:w="740"/>
            <w:gridCol w:w="958"/>
            <w:gridCol w:w="880"/>
            <w:gridCol w:w="935"/>
          </w:tblGrid>
        </w:tblGridChange>
      </w:tblGrid>
      <w:tr>
        <w:trPr>
          <w:cantSplit w:val="1"/>
          <w:trHeight w:val="562" w:hRule="atLeast"/>
          <w:tblHeader w:val="0"/>
        </w:trPr>
        <w:tc>
          <w:tcPr>
            <w:vMerge w:val="restart"/>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Назви тем</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змістових модулів</w:t>
            </w:r>
            <w:r w:rsidDel="00000000" w:rsidR="00000000" w:rsidRPr="00000000">
              <w:rPr>
                <w:rtl w:val="0"/>
              </w:rPr>
            </w:r>
          </w:p>
        </w:tc>
        <w:tc>
          <w:tcPr>
            <w:gridSpan w:val="6"/>
            <w:vAlign w:val="top"/>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Кількість годин</w:t>
            </w:r>
            <w:r w:rsidDel="00000000" w:rsidR="00000000" w:rsidRPr="00000000">
              <w:rPr>
                <w:rtl w:val="0"/>
              </w:rPr>
            </w:r>
          </w:p>
        </w:tc>
      </w:tr>
      <w:tr>
        <w:trPr>
          <w:cantSplit w:val="1"/>
          <w:trHeight w:val="144" w:hRule="atLeast"/>
          <w:tblHeader w:val="0"/>
        </w:trPr>
        <w:tc>
          <w:tcPr>
            <w:vMerge w:val="continue"/>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 </w:t>
            </w:r>
            <w:r w:rsidDel="00000000" w:rsidR="00000000" w:rsidRPr="00000000">
              <w:rPr>
                <w:rtl w:val="0"/>
              </w:rPr>
            </w:r>
          </w:p>
        </w:tc>
        <w:tc>
          <w:tcPr>
            <w:gridSpan w:val="5"/>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 тому числі</w:t>
            </w:r>
            <w:r w:rsidDel="00000000" w:rsidR="00000000" w:rsidRPr="00000000">
              <w:rPr>
                <w:rtl w:val="0"/>
              </w:rPr>
            </w:r>
          </w:p>
        </w:tc>
      </w:tr>
      <w:tr>
        <w:trPr>
          <w:cantSplit w:val="1"/>
          <w:trHeight w:val="144" w:hRule="atLeast"/>
          <w:tblHeader w:val="0"/>
        </w:trPr>
        <w:tc>
          <w:tcPr>
            <w:vMerge w:val="continue"/>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л</w:t>
            </w:r>
            <w:r w:rsidDel="00000000" w:rsidR="00000000" w:rsidRPr="00000000">
              <w:rPr>
                <w:rtl w:val="0"/>
              </w:rPr>
            </w:r>
          </w:p>
        </w:tc>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w:t>
            </w:r>
            <w:r w:rsidDel="00000000" w:rsidR="00000000" w:rsidRPr="00000000">
              <w:rPr>
                <w:rtl w:val="0"/>
              </w:rPr>
            </w:r>
          </w:p>
        </w:tc>
        <w:tc>
          <w:tcP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лаб</w:t>
            </w:r>
            <w:r w:rsidDel="00000000" w:rsidR="00000000" w:rsidRPr="00000000">
              <w:rPr>
                <w:rtl w:val="0"/>
              </w:rPr>
            </w:r>
          </w:p>
        </w:tc>
        <w:tc>
          <w:tcPr>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w:t>
            </w:r>
            <w:r w:rsidDel="00000000" w:rsidR="00000000" w:rsidRPr="00000000">
              <w:rPr>
                <w:rtl w:val="0"/>
              </w:rPr>
            </w:r>
          </w:p>
        </w:tc>
        <w:tc>
          <w:tcPr>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с.р.</w:t>
            </w:r>
            <w:r w:rsidDel="00000000" w:rsidR="00000000" w:rsidRPr="00000000">
              <w:rPr>
                <w:rtl w:val="0"/>
              </w:rPr>
            </w:r>
          </w:p>
        </w:tc>
      </w:tr>
      <w:tr>
        <w:trPr>
          <w:cantSplit w:val="0"/>
          <w:trHeight w:val="270" w:hRule="atLeast"/>
          <w:tblHeader w:val="0"/>
        </w:trPr>
        <w:tc>
          <w:tcPr>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1"/>
          <w:trHeight w:val="555" w:hRule="atLeast"/>
          <w:tblHeader w:val="0"/>
        </w:trPr>
        <w:tc>
          <w:tcPr>
            <w:gridSpan w:val="7"/>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І.</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Загальна  хімія</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12"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78" w:hRule="atLeast"/>
          <w:tblHeader w:val="0"/>
        </w:trPr>
        <w:tc>
          <w:tcPr>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 Система контролю якості продукції.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Обєкти  та суб’єкти контролю якості. Правова основа контролю якості. Загальні принципи безпеки харчових продуктів.</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2273300</wp:posOffset>
                      </wp:positionH>
                      <wp:positionV relativeFrom="paragraph">
                        <wp:posOffset>-2552699</wp:posOffset>
                      </wp:positionV>
                      <wp:extent cx="12065" cy="13335"/>
                      <wp:effectExtent b="0" l="0" r="0" t="0"/>
                      <wp:wrapNone/>
                      <wp:docPr id="15" name=""/>
                      <a:graphic>
                        <a:graphicData uri="http://schemas.microsoft.com/office/word/2010/wordprocessingShape">
                          <wps:wsp>
                            <wps:cNvSpPr/>
                            <wps:cNvPr id="16" name="Shape 16"/>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2273300</wp:posOffset>
                      </wp:positionH>
                      <wp:positionV relativeFrom="paragraph">
                        <wp:posOffset>-2552699</wp:posOffset>
                      </wp:positionV>
                      <wp:extent cx="12065" cy="13335"/>
                      <wp:effectExtent b="0" l="0" r="0" t="0"/>
                      <wp:wrapNone/>
                      <wp:docPr id="15" name="image15.png"/>
                      <a:graphic>
                        <a:graphicData uri="http://schemas.openxmlformats.org/drawingml/2006/picture">
                          <pic:pic>
                            <pic:nvPicPr>
                              <pic:cNvPr id="0" name="image15.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4864100</wp:posOffset>
                      </wp:positionH>
                      <wp:positionV relativeFrom="paragraph">
                        <wp:posOffset>-2552699</wp:posOffset>
                      </wp:positionV>
                      <wp:extent cx="12065" cy="22860"/>
                      <wp:effectExtent b="0" l="0" r="0" t="0"/>
                      <wp:wrapNone/>
                      <wp:docPr id="25" name=""/>
                      <a:graphic>
                        <a:graphicData uri="http://schemas.microsoft.com/office/word/2010/wordprocessingShape">
                          <wps:wsp>
                            <wps:cNvSpPr/>
                            <wps:cNvPr id="26" name="Shape 26"/>
                            <wps:spPr>
                              <a:xfrm>
                                <a:off x="5339968" y="3768570"/>
                                <a:ext cx="12065" cy="228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4864100</wp:posOffset>
                      </wp:positionH>
                      <wp:positionV relativeFrom="paragraph">
                        <wp:posOffset>-2552699</wp:posOffset>
                      </wp:positionV>
                      <wp:extent cx="12065" cy="22860"/>
                      <wp:effectExtent b="0" l="0" r="0" t="0"/>
                      <wp:wrapNone/>
                      <wp:docPr id="25" name="image25.png"/>
                      <a:graphic>
                        <a:graphicData uri="http://schemas.openxmlformats.org/drawingml/2006/picture">
                          <pic:pic>
                            <pic:nvPicPr>
                              <pic:cNvPr id="0" name="image25.png"/>
                              <pic:cNvPicPr preferRelativeResize="0"/>
                            </pic:nvPicPr>
                            <pic:blipFill>
                              <a:blip r:embed="rId14"/>
                              <a:srcRect/>
                              <a:stretch>
                                <a:fillRect/>
                              </a:stretch>
                            </pic:blipFill>
                            <pic:spPr>
                              <a:xfrm>
                                <a:off x="0" y="0"/>
                                <a:ext cx="12065" cy="22860"/>
                              </a:xfrm>
                              <a:prstGeom prst="rect"/>
                              <a:ln/>
                            </pic:spPr>
                          </pic:pic>
                        </a:graphicData>
                      </a:graphic>
                    </wp:anchor>
                  </w:drawing>
                </mc:Fallback>
              </mc:AlternateConten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1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rHeight w:val="433" w:hRule="atLeast"/>
          <w:tblHeader w:val="0"/>
        </w:trPr>
        <w:tc>
          <w:tcP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 Контроль якості і безпека продуктів харчування в ЕС.</w:t>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Якість продуктів харчування як національна ідея. Контроль за безпекою продуктів харчування. Проблеми ідентифікації та фальсифікації харчових продуктів. Основні системи забезпечення якості та безпеки мясної продукції. Санітарні правили та норми по застосуванню харчових добавок. Гігіієнічні та генетичні аспекти застосування харчових добавок. Дозволені рівні споживання харчоих добавок.</w:t>
            </w:r>
          </w:p>
        </w:tc>
        <w:tc>
          <w:tcP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rHeight w:val="540" w:hRule="atLeast"/>
          <w:tblHeader w:val="0"/>
        </w:trPr>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Методи оцінки і контролю якості продукції галузі. </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показники харчової цінності та безпеки харчової продукції. Методологія контролю якост харчової продукції.</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27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r>
      <w:tr>
        <w:trPr>
          <w:cantSplit w:val="0"/>
          <w:trHeight w:val="540" w:hRule="atLeast"/>
          <w:tblHeader w:val="0"/>
        </w:trPr>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Безпечність харчових продуктів.</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Мікотоксини. Радіактивне забруднення. Пестициди. Нітрати, нітрити, нітрозо аміни. Харчові добавки</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2"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239"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p>
        </w:tc>
        <w:tc>
          <w:tcP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40" w:hRule="atLeast"/>
          <w:tblHeader w:val="0"/>
        </w:trPr>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змістовим модулем 1</w:t>
            </w:r>
            <w:r w:rsidDel="00000000" w:rsidR="00000000" w:rsidRPr="00000000">
              <w:rPr>
                <w:rtl w:val="0"/>
              </w:rPr>
            </w:r>
          </w:p>
        </w:tc>
        <w:tc>
          <w:tcP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56</w:t>
            </w:r>
            <w:r w:rsidDel="00000000" w:rsidR="00000000" w:rsidRPr="00000000">
              <w:rPr>
                <w:rtl w:val="0"/>
              </w:rPr>
            </w:r>
          </w:p>
        </w:tc>
        <w:tc>
          <w:tcP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30</w:t>
            </w:r>
            <w:r w:rsidDel="00000000" w:rsidR="00000000" w:rsidRPr="00000000">
              <w:rPr>
                <w:rtl w:val="0"/>
              </w:rPr>
            </w:r>
          </w:p>
        </w:tc>
      </w:tr>
      <w:tr>
        <w:trPr>
          <w:cantSplit w:val="1"/>
          <w:trHeight w:val="607" w:hRule="atLeast"/>
          <w:tblHeader w:val="0"/>
        </w:trPr>
        <w:tc>
          <w:tcPr>
            <w:gridSpan w:val="7"/>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2"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ІІ. Неорганічна хімія. Хімічні особливості використання хімічних сполук в харчових технологіях</w:t>
            </w:r>
            <w:r w:rsidDel="00000000" w:rsidR="00000000" w:rsidRPr="00000000">
              <w:rPr>
                <w:rFonts w:ascii="Arial" w:cs="Arial" w:eastAsia="Arial" w:hAnsi="Arial"/>
                <w:b w:val="1"/>
                <w:i w:val="0"/>
                <w:smallCaps w:val="0"/>
                <w:strike w:val="0"/>
                <w:color w:val="000000"/>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2"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16" w:hRule="atLeast"/>
          <w:tblHeader w:val="0"/>
        </w:trPr>
        <w:tc>
          <w:tcPr>
            <w:vAlign w:val="top"/>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Контроль якості та безпеки продукції тваринництва..</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Основа контролю якості та безпечності продукції тваринництва. Якість агропромислової продукції як об’єкт управління. Фактори формування та забезпечення якості агропромислової продукції.</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2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55" w:hRule="atLeast"/>
          <w:tblHeader w:val="0"/>
        </w:trPr>
        <w:tc>
          <w:tcPr>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6"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 Правова основа контролю якості та безпечності харчових продуктів..</w:t>
              <w:tab/>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Правова основа контролю якості та безпечності харчових продуктів тваринництва. Обєкт і структура кваліметрії, як науки про вимірювання і кількісне оцінювання якості продукції. Принципи і задачі кваліметрії. Проблема якості продуктів харчування. Показники якості продукції.</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37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333" w:hRule="atLeast"/>
          <w:tblHeader w:val="0"/>
        </w:trPr>
        <w:tc>
          <w:tcPr>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Контроль якості та безпеки продукції рослинного походження. </w:t>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3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положення Закону України, щодо контролю виробництва продуктів рослинного походження, що контролюють виробництво для забезпечення випуску якісної та безпечної продовольчої продукції. Небезпечні хімічні сполуки, що можуть мати місце в продуктах рослинного походження. Геннетично модифікована рослинна продукція</w:t>
            </w:r>
            <w:r w:rsidDel="00000000" w:rsidR="00000000" w:rsidRPr="00000000">
              <w:rPr>
                <w:rtl w:val="0"/>
              </w:rPr>
            </w:r>
          </w:p>
        </w:tc>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w:t>
            </w:r>
          </w:p>
        </w:tc>
        <w:tc>
          <w:tcP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p>
        </w:tc>
        <w:tc>
          <w:tcPr>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rHeight w:val="705" w:hRule="atLeast"/>
          <w:tblHeader w:val="0"/>
        </w:trPr>
        <w:tc>
          <w:tcPr>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 Система управління безпекою харчових продуктів.</w:t>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5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положення НАССР</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Поняття системи НАССР. ЇЇ використання пи оцінки якості продуктів харчування</w:t>
            </w:r>
            <w:r w:rsidDel="00000000" w:rsidR="00000000" w:rsidRPr="00000000">
              <w:rPr>
                <w:rtl w:val="0"/>
              </w:rPr>
            </w:r>
          </w:p>
        </w:tc>
        <w:tc>
          <w:tcPr>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w:t>
            </w:r>
          </w:p>
        </w:tc>
        <w:tc>
          <w:tcPr>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sdt>
              <w:sdtPr>
                <w:tag w:val="goog_rdk_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p>
        </w:tc>
        <w:tc>
          <w:tcP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rHeight w:val="333" w:hRule="atLeast"/>
          <w:tblHeader w:val="0"/>
        </w:trPr>
        <w:tc>
          <w:tcPr>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змістовим модулем 2</w:t>
            </w:r>
            <w:r w:rsidDel="00000000" w:rsidR="00000000" w:rsidRPr="00000000">
              <w:rPr>
                <w:rtl w:val="0"/>
              </w:rPr>
            </w:r>
          </w:p>
        </w:tc>
        <w:tc>
          <w:tcP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94</w:t>
            </w:r>
            <w:r w:rsidDel="00000000" w:rsidR="00000000" w:rsidRPr="00000000">
              <w:rPr>
                <w:rtl w:val="0"/>
              </w:rPr>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60</w:t>
            </w:r>
            <w:r w:rsidDel="00000000" w:rsidR="00000000" w:rsidRPr="00000000">
              <w:rPr>
                <w:rtl w:val="0"/>
              </w:rPr>
            </w:r>
          </w:p>
        </w:tc>
      </w:tr>
      <w:tr>
        <w:trPr>
          <w:cantSplit w:val="0"/>
          <w:trHeight w:val="70" w:hRule="atLeast"/>
          <w:tblHeader w:val="0"/>
        </w:trPr>
        <w:tc>
          <w:tcPr>
            <w:vAlign w:val="top"/>
          </w:tcPr>
          <w:p w:rsidR="00000000" w:rsidDel="00000000" w:rsidP="00000000" w:rsidRDefault="00000000" w:rsidRPr="00000000" w14:paraId="0000012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Arial" w:cs="Arial" w:eastAsia="Arial" w:hAnsi="Arial"/>
                <w:b w:val="1"/>
                <w:i w:val="0"/>
                <w:smallCaps w:val="0"/>
                <w:strike w:val="0"/>
                <w:color w:val="4f81bd"/>
                <w:sz w:val="22"/>
                <w:szCs w:val="22"/>
                <w:u w:val="none"/>
                <w:shd w:fill="auto" w:val="clear"/>
                <w:vertAlign w:val="baseline"/>
              </w:rPr>
            </w:pPr>
            <w:r w:rsidDel="00000000" w:rsidR="00000000" w:rsidRPr="00000000">
              <w:rPr>
                <w:rFonts w:ascii="Arial" w:cs="Arial" w:eastAsia="Arial" w:hAnsi="Arial"/>
                <w:b w:val="1"/>
                <w:i w:val="0"/>
                <w:smallCaps w:val="0"/>
                <w:strike w:val="0"/>
                <w:color w:val="4f81bd"/>
                <w:sz w:val="22"/>
                <w:szCs w:val="22"/>
                <w:u w:val="none"/>
                <w:shd w:fill="auto" w:val="clear"/>
                <w:vertAlign w:val="baseline"/>
                <w:rtl w:val="0"/>
              </w:rPr>
              <w:t xml:space="preserve">Усього </w:t>
            </w:r>
          </w:p>
        </w:tc>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150</w:t>
            </w:r>
            <w:r w:rsidDel="00000000" w:rsidR="00000000" w:rsidRPr="00000000">
              <w:rPr>
                <w:rtl w:val="0"/>
              </w:rPr>
            </w:r>
          </w:p>
        </w:tc>
        <w:tc>
          <w:tcP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c>
          <w:tcP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90</w:t>
            </w:r>
            <w:r w:rsidDel="00000000" w:rsidR="00000000" w:rsidRPr="00000000">
              <w:rPr>
                <w:rtl w:val="0"/>
              </w:rPr>
            </w:r>
          </w:p>
        </w:tc>
      </w:tr>
    </w:tbl>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ТЕМИ ЛАБОРАТОРНИХ ЗАНЯТЬ</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10206.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850"/>
        <w:gridCol w:w="7655"/>
        <w:gridCol w:w="992"/>
        <w:tblGridChange w:id="0">
          <w:tblGrid>
            <w:gridCol w:w="709"/>
            <w:gridCol w:w="850"/>
            <w:gridCol w:w="7655"/>
            <w:gridCol w:w="992"/>
          </w:tblGrid>
        </w:tblGridChange>
      </w:tblGrid>
      <w:tr>
        <w:trPr>
          <w:cantSplit w:val="0"/>
          <w:tblHeader w:val="0"/>
        </w:trPr>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годин</w:t>
            </w:r>
          </w:p>
        </w:tc>
      </w:tr>
      <w:tr>
        <w:trPr>
          <w:cantSplit w:val="0"/>
          <w:tblHeader w:val="0"/>
        </w:trPr>
        <w:tc>
          <w:tcP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Санітрано-гігієнічна оцінка безпеки курячих яєць</w:t>
            </w:r>
          </w:p>
        </w:tc>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59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Експертиза м’ясних продуктів на залишковий вміст натрій нітриту (харчової добавки Е 250)</w:t>
            </w:r>
          </w:p>
        </w:tc>
        <w:tc>
          <w:tcP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Контроль вмісту аміаку, нітритів і нітратів у воді та рослинних продуктах</w:t>
            </w:r>
          </w:p>
        </w:tc>
        <w:tc>
          <w:tcP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Визначення походження барвників у напоях, соках, чаї, карамелі.</w:t>
            </w:r>
          </w:p>
        </w:tc>
        <w:tc>
          <w:tcP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Особливості використання хімічних сполук в харчових технологіях</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8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Визначення вмісту бензоату натрію у маргарині сполук в харчових процесах.</w:t>
            </w:r>
          </w:p>
        </w:tc>
        <w:tc>
          <w:tcP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Ветеринарно-санітарна оцінка якості свіжої риби.</w:t>
            </w:r>
          </w:p>
        </w:tc>
        <w:tc>
          <w:tcPr>
            <w:vAlign w:val="top"/>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Оцінка безпечності рибних пресерв.</w:t>
            </w:r>
          </w:p>
        </w:tc>
        <w:tc>
          <w:tcPr>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Оцінка безпеки кондитерських виробів</w:t>
            </w:r>
          </w:p>
        </w:tc>
        <w:tc>
          <w:tcPr>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w:t>
            </w:r>
            <w:r w:rsidDel="00000000" w:rsidR="00000000" w:rsidRPr="00000000">
              <w:rPr>
                <w:rtl w:val="0"/>
              </w:rPr>
            </w:r>
          </w:p>
        </w:tc>
        <w:tc>
          <w:tcPr>
            <w:vAlign w:val="top"/>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w:t>
            </w:r>
            <w:r w:rsidDel="00000000" w:rsidR="00000000" w:rsidRPr="00000000">
              <w:rPr>
                <w:rtl w:val="0"/>
              </w:rPr>
            </w:r>
          </w:p>
        </w:tc>
      </w:tr>
    </w:tbl>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ЗАВДАННЯ ДЛЯ САМОСТІЙНОЇ РОБОТИ</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10206.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850"/>
        <w:gridCol w:w="7655"/>
        <w:gridCol w:w="992"/>
        <w:tblGridChange w:id="0">
          <w:tblGrid>
            <w:gridCol w:w="709"/>
            <w:gridCol w:w="850"/>
            <w:gridCol w:w="7655"/>
            <w:gridCol w:w="992"/>
          </w:tblGrid>
        </w:tblGridChange>
      </w:tblGrid>
      <w:tr>
        <w:trPr>
          <w:cantSplit w:val="0"/>
          <w:tblHeader w:val="0"/>
        </w:trPr>
        <w:tc>
          <w:tcPr>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годин</w:t>
            </w:r>
          </w:p>
        </w:tc>
      </w:tr>
      <w:tr>
        <w:trPr>
          <w:cantSplit w:val="0"/>
          <w:tblHeader w:val="0"/>
        </w:trPr>
        <w:tc>
          <w:tcPr>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Система управління якістю продукції. Чинники і умови підвищення якості</w:t>
            </w:r>
          </w:p>
        </w:tc>
        <w:tc>
          <w:tcPr>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Класифікація чинників, що впливають на якість продукції.</w:t>
            </w:r>
          </w:p>
        </w:tc>
        <w:tc>
          <w:tcP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blHeader w:val="0"/>
        </w:trPr>
        <w:tc>
          <w:tcPr>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59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Державні органи України, що забезпечують розробку, затвердження та впровадження санітарних заходів щодо безпечності та якості харчових продуктів.</w:t>
            </w:r>
          </w:p>
        </w:tc>
        <w:tc>
          <w:tcP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r>
      <w:tr>
        <w:trPr>
          <w:cantSplit w:val="0"/>
          <w:tblHeader w:val="0"/>
        </w:trPr>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Документи, що регламентують якість і безпечність харчових продуктів в Україні та ЕС.</w:t>
            </w:r>
          </w:p>
        </w:tc>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Система аналізу ризиків та контролю (регулювання) в критичних точках (НАССР)</w:t>
            </w:r>
          </w:p>
        </w:tc>
        <w:tc>
          <w:tcPr>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Контроль якості та безпеки при виробництві продукції рослинного походження</w:t>
            </w:r>
          </w:p>
        </w:tc>
        <w:tc>
          <w:tcPr>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8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Контроль якості та безпеки, критерії гігієнічної оцінки виробництва м’ясних продуктах.</w:t>
            </w:r>
          </w:p>
        </w:tc>
        <w:tc>
          <w:tcPr>
            <w:vAlign w:val="top"/>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перетворення ксенобіотиків в ході технологічного процесу</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Дослідження води на підприємствах м’ясної і молочної промисловості</w:t>
            </w:r>
          </w:p>
        </w:tc>
        <w:tc>
          <w:tcPr>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Харчові отруєння немікробного походження</w:t>
            </w:r>
          </w:p>
        </w:tc>
        <w:tc>
          <w:tcPr>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w:t>
            </w:r>
            <w:r w:rsidDel="00000000" w:rsidR="00000000" w:rsidRPr="00000000">
              <w:rPr>
                <w:rtl w:val="0"/>
              </w:rPr>
            </w:r>
          </w:p>
        </w:tc>
        <w:tc>
          <w:tcPr>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90</w:t>
            </w:r>
            <w:r w:rsidDel="00000000" w:rsidR="00000000" w:rsidRPr="00000000">
              <w:rPr>
                <w:rtl w:val="0"/>
              </w:rPr>
            </w:r>
          </w:p>
        </w:tc>
      </w:tr>
    </w:tbl>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МЕТОДИ КОНТРОЛЮ</w:t>
      </w: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2"/>
        </w:tabs>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my2ctvjvv8y1" w:id="3"/>
      <w:bookmarkEnd w:id="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процесі оцінювання навчальних досягнень студентів з курсу «Хімія» застосовуються такі методи:</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9"/>
          <w:tab w:val="left" w:leader="none" w:pos="3473"/>
          <w:tab w:val="left" w:leader="none" w:pos="5163"/>
          <w:tab w:val="left" w:leader="none" w:pos="7145"/>
          <w:tab w:val="left" w:leader="none" w:pos="8911"/>
        </w:tabs>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усного контролю</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індивідуальне опитування, фронтальне опитування, співбесіда, захист індивідуального завдання, екзамен;</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письмового 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письмове тестування, модульна контрольна робота;</w:t>
      </w:r>
    </w:p>
    <w:p w:rsidR="00000000" w:rsidDel="00000000" w:rsidP="00000000" w:rsidRDefault="00000000" w:rsidRPr="00000000" w14:paraId="000001A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самоконтролю: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самооцінка, самоаналіз</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heading=h.vkvslylrxpar" w:id="4"/>
      <w:bookmarkEnd w:id="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СХЕМА НАРАХУВАННЯ БАЛІВ</w:t>
      </w:r>
      <w:r w:rsidDel="00000000" w:rsidR="00000000" w:rsidRPr="00000000">
        <w:rPr>
          <w:rtl w:val="0"/>
        </w:rPr>
      </w:r>
    </w:p>
    <w:tbl>
      <w:tblPr>
        <w:tblStyle w:val="Table6"/>
        <w:tblW w:w="101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88"/>
        <w:gridCol w:w="237"/>
        <w:gridCol w:w="395"/>
        <w:gridCol w:w="403"/>
        <w:gridCol w:w="338"/>
        <w:gridCol w:w="405"/>
        <w:gridCol w:w="431"/>
        <w:gridCol w:w="395"/>
        <w:gridCol w:w="530"/>
        <w:gridCol w:w="462"/>
        <w:gridCol w:w="1144"/>
        <w:gridCol w:w="794"/>
        <w:tblGridChange w:id="0">
          <w:tblGrid>
            <w:gridCol w:w="4588"/>
            <w:gridCol w:w="237"/>
            <w:gridCol w:w="395"/>
            <w:gridCol w:w="403"/>
            <w:gridCol w:w="338"/>
            <w:gridCol w:w="405"/>
            <w:gridCol w:w="431"/>
            <w:gridCol w:w="395"/>
            <w:gridCol w:w="530"/>
            <w:gridCol w:w="462"/>
            <w:gridCol w:w="1144"/>
            <w:gridCol w:w="794"/>
          </w:tblGrid>
        </w:tblGridChange>
      </w:tblGrid>
      <w:tr>
        <w:trPr>
          <w:cantSplit w:val="1"/>
          <w:trHeight w:val="375" w:hRule="atLeast"/>
          <w:tblHeader w:val="0"/>
        </w:trPr>
        <w:tc>
          <w:tcPr>
            <w:vMerge w:val="restart"/>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Кількість балів</w:t>
            </w: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Теми</w:t>
            </w:r>
            <w:r w:rsidDel="00000000" w:rsidR="00000000" w:rsidRPr="00000000">
              <w:rPr>
                <w:rtl w:val="0"/>
              </w:rPr>
            </w:r>
          </w:p>
        </w:tc>
        <w:tc>
          <w:tcPr>
            <w:gridSpan w:val="9"/>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Ι</w:t>
            </w:r>
            <w:r w:rsidDel="00000000" w:rsidR="00000000" w:rsidRPr="00000000">
              <w:rPr>
                <w:rtl w:val="0"/>
              </w:rPr>
            </w:r>
          </w:p>
        </w:tc>
        <w:tc>
          <w:tcPr>
            <w:gridSpan w:val="2"/>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ΙΙ</w:t>
            </w:r>
            <w:r w:rsidDel="00000000" w:rsidR="00000000" w:rsidRPr="00000000">
              <w:rPr>
                <w:rtl w:val="0"/>
              </w:rPr>
            </w:r>
          </w:p>
        </w:tc>
      </w:tr>
      <w:tr>
        <w:trPr>
          <w:cantSplit w:val="1"/>
          <w:trHeight w:val="369" w:hRule="atLeast"/>
          <w:tblHeader w:val="0"/>
        </w:trPr>
        <w:tc>
          <w:tcPr>
            <w:vMerge w:val="continue"/>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w:t>
            </w:r>
            <w:r w:rsidDel="00000000" w:rsidR="00000000" w:rsidRPr="00000000">
              <w:rPr>
                <w:rtl w:val="0"/>
              </w:rPr>
            </w:r>
          </w:p>
        </w:tc>
      </w:tr>
      <w:tr>
        <w:trPr>
          <w:cantSplit w:val="0"/>
          <w:tblHeader w:val="0"/>
        </w:trPr>
        <w:tc>
          <w:tcP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Практичні заняття (6х3 б)</w:t>
            </w:r>
          </w:p>
        </w:tc>
        <w:tc>
          <w:tcP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r>
      <w:tr>
        <w:trPr>
          <w:cantSplit w:val="0"/>
          <w:tblHeader w:val="0"/>
        </w:trPr>
        <w:tc>
          <w:tcP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Самостійна робота (42 б)</w:t>
            </w:r>
          </w:p>
        </w:tc>
        <w:tc>
          <w:tcP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r>
      <w:tr>
        <w:trPr>
          <w:cantSplit w:val="0"/>
          <w:tblHeader w:val="0"/>
        </w:trPr>
        <w:tc>
          <w:tcP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Поточний модульний контроль (30б)</w:t>
            </w:r>
          </w:p>
        </w:tc>
        <w:tc>
          <w:tcPr>
            <w:gridSpan w:val="5"/>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gridSpan w:val="4"/>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gridSpan w:val="2"/>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Підсумковий  контроль (захист ІДЗ) (10б)</w:t>
            </w:r>
          </w:p>
        </w:tc>
        <w:tc>
          <w:tcPr>
            <w:gridSpan w:val="11"/>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Підсумковий  контроль (екзамен) (30 б)</w:t>
            </w:r>
          </w:p>
        </w:tc>
        <w:tc>
          <w:tcPr>
            <w:gridSpan w:val="11"/>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w:t>
            </w:r>
          </w:p>
        </w:tc>
      </w:tr>
    </w:tbl>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Шкала оцінювання: національна та ЄКTС</w:t>
      </w:r>
      <w:r w:rsidDel="00000000" w:rsidR="00000000" w:rsidRPr="00000000">
        <w:rPr>
          <w:rtl w:val="0"/>
        </w:rPr>
      </w:r>
    </w:p>
    <w:p w:rsidR="00000000" w:rsidDel="00000000" w:rsidP="00000000" w:rsidRDefault="00000000" w:rsidRPr="00000000" w14:paraId="000001F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1014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3"/>
        <w:gridCol w:w="4253"/>
        <w:gridCol w:w="1984"/>
        <w:gridCol w:w="2052"/>
        <w:tblGridChange w:id="0">
          <w:tblGrid>
            <w:gridCol w:w="1853"/>
            <w:gridCol w:w="4253"/>
            <w:gridCol w:w="1984"/>
            <w:gridCol w:w="2052"/>
          </w:tblGrid>
        </w:tblGridChange>
      </w:tblGrid>
      <w:tr>
        <w:trPr>
          <w:cantSplit w:val="1"/>
          <w:trHeight w:val="20" w:hRule="atLeast"/>
          <w:tblHeader w:val="0"/>
        </w:trPr>
        <w:tc>
          <w:tcPr>
            <w:vMerge w:val="restart"/>
            <w:vAlign w:val="cente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EКTС</w:t>
            </w:r>
          </w:p>
        </w:tc>
        <w:tc>
          <w:tcPr>
            <w:vMerge w:val="restart"/>
            <w:vAlign w:val="cente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академії</w:t>
            </w:r>
            <w:r w:rsidDel="00000000" w:rsidR="00000000" w:rsidRPr="00000000">
              <w:rPr>
                <w:rtl w:val="0"/>
              </w:rPr>
            </w:r>
          </w:p>
        </w:tc>
        <w:tc>
          <w:tcPr>
            <w:gridSpan w:val="2"/>
            <w:vAlign w:val="center"/>
          </w:tcPr>
          <w:p w:rsidR="00000000" w:rsidDel="00000000" w:rsidP="00000000" w:rsidRDefault="00000000" w:rsidRPr="00000000" w14:paraId="0000020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національною шкалою</w:t>
            </w:r>
          </w:p>
        </w:tc>
      </w:tr>
      <w:tr>
        <w:trPr>
          <w:cantSplit w:val="1"/>
          <w:trHeight w:val="20" w:hRule="atLeast"/>
          <w:tblHeader w:val="0"/>
        </w:trPr>
        <w:tc>
          <w:tcPr>
            <w:vMerge w:val="continue"/>
            <w:vAlign w:val="cente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05">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Екзамен</w:t>
            </w:r>
          </w:p>
        </w:tc>
        <w:tc>
          <w:tcPr>
            <w:vAlign w:val="center"/>
          </w:tcPr>
          <w:p w:rsidR="00000000" w:rsidDel="00000000" w:rsidP="00000000" w:rsidRDefault="00000000" w:rsidRPr="00000000" w14:paraId="00000206">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Залік</w:t>
            </w:r>
          </w:p>
        </w:tc>
      </w:tr>
      <w:tr>
        <w:trPr>
          <w:cantSplit w:val="1"/>
          <w:trHeight w:val="20" w:hRule="atLeast"/>
          <w:tblHeader w:val="0"/>
        </w:trPr>
        <w:tc>
          <w:tcPr>
            <w:vAlign w:val="cente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p>
        </w:tc>
        <w:tc>
          <w:tcPr>
            <w:vAlign w:val="center"/>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90–100</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(відмінно)</w:t>
            </w:r>
          </w:p>
        </w:tc>
        <w:tc>
          <w:tcPr>
            <w:vAlign w:val="center"/>
          </w:tcPr>
          <w:p w:rsidR="00000000" w:rsidDel="00000000" w:rsidP="00000000" w:rsidRDefault="00000000" w:rsidRPr="00000000" w14:paraId="0000020A">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93"/>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(відмінно)</w:t>
            </w:r>
          </w:p>
        </w:tc>
        <w:tc>
          <w:tcPr>
            <w:vMerge w:val="restart"/>
            <w:vAlign w:val="center"/>
          </w:tcPr>
          <w:p w:rsidR="00000000" w:rsidDel="00000000" w:rsidP="00000000" w:rsidRDefault="00000000" w:rsidRPr="00000000" w14:paraId="0000020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68"/>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Зараховано</w:t>
            </w:r>
          </w:p>
        </w:tc>
      </w:tr>
      <w:tr>
        <w:trPr>
          <w:cantSplit w:val="1"/>
          <w:trHeight w:val="20" w:hRule="atLeast"/>
          <w:tblHeader w:val="0"/>
        </w:trPr>
        <w:tc>
          <w:tcPr>
            <w:vAlign w:val="center"/>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r>
          </w:p>
        </w:tc>
        <w:tc>
          <w:tcPr>
            <w:vAlign w:val="center"/>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82–89</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(дуже добре)</w:t>
            </w:r>
          </w:p>
        </w:tc>
        <w:tc>
          <w:tcPr>
            <w:vMerge w:val="restart"/>
            <w:vAlign w:val="center"/>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(добре)</w:t>
            </w:r>
          </w:p>
        </w:tc>
        <w:tc>
          <w:tcPr>
            <w:vMerge w:val="continue"/>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r>
          </w:p>
        </w:tc>
        <w:tc>
          <w:tcPr>
            <w:vAlign w:val="center"/>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75–81</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(добре)</w:t>
            </w:r>
          </w:p>
        </w:tc>
        <w:tc>
          <w:tcPr>
            <w:vMerge w:val="continue"/>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w:t>
            </w:r>
          </w:p>
        </w:tc>
        <w:tc>
          <w:tcPr>
            <w:vAlign w:val="center"/>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64–74</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(задовільно) </w:t>
            </w:r>
          </w:p>
        </w:tc>
        <w:tc>
          <w:tcPr>
            <w:vMerge w:val="restart"/>
            <w:vAlign w:val="cente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(задовільно)</w:t>
            </w:r>
          </w:p>
        </w:tc>
        <w:tc>
          <w:tcPr>
            <w:vMerge w:val="continue"/>
            <w:vAlign w:val="cente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t>
            </w:r>
          </w:p>
        </w:tc>
        <w:tc>
          <w:tcPr>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60–63</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(достатньо)</w:t>
            </w:r>
          </w:p>
        </w:tc>
        <w:tc>
          <w:tcPr>
            <w:vMerge w:val="continue"/>
            <w:vAlign w:val="cente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FX</w:t>
            </w:r>
          </w:p>
        </w:tc>
        <w:tc>
          <w:tcPr>
            <w:vAlign w:val="cente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35–59</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можливістю повторного складання)</w:t>
            </w:r>
          </w:p>
        </w:tc>
        <w:tc>
          <w:tcPr>
            <w:vMerge w:val="restart"/>
            <w:vAlign w:val="cente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(незадовільно)</w:t>
            </w:r>
          </w:p>
        </w:tc>
        <w:tc>
          <w:tcPr>
            <w:vMerge w:val="restart"/>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 зараховано</w:t>
            </w:r>
          </w:p>
        </w:tc>
      </w:tr>
      <w:tr>
        <w:trPr>
          <w:cantSplit w:val="1"/>
          <w:trHeight w:val="20" w:hRule="atLeast"/>
          <w:tblHeader w:val="0"/>
        </w:trPr>
        <w:tc>
          <w:tcPr>
            <w:vAlign w:val="center"/>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w:t>
            </w:r>
          </w:p>
        </w:tc>
        <w:tc>
          <w:tcPr>
            <w:vAlign w:val="cente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1–34</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обов’язковим повторним курсом)</w:t>
            </w:r>
          </w:p>
        </w:tc>
        <w:tc>
          <w:tcPr>
            <w:vMerge w:val="continue"/>
            <w:vAlign w:val="center"/>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ПЕРЕЛІК ПИТАНЬ ДО ЗАЛІКУ</w:t>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Для виконання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індивідуального завдання</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студент повинен зробити доповідь та презентацію на тему:</w:t>
      </w:r>
    </w:p>
    <w:p w:rsidR="00000000" w:rsidDel="00000000" w:rsidP="00000000" w:rsidRDefault="00000000" w:rsidRPr="00000000" w14:paraId="000002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Система контролю якості продукції. Обєкти  та суб’єкти контролю якості.</w:t>
      </w:r>
    </w:p>
    <w:p w:rsidR="00000000" w:rsidDel="00000000" w:rsidP="00000000" w:rsidRDefault="00000000" w:rsidRPr="00000000" w14:paraId="000002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Правова основа контролю якості. Загальні принципи безпеки харчових продуктів.</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2273300</wp:posOffset>
                </wp:positionH>
                <wp:positionV relativeFrom="paragraph">
                  <wp:posOffset>-2552699</wp:posOffset>
                </wp:positionV>
                <wp:extent cx="12065" cy="13335"/>
                <wp:effectExtent b="0" l="0" r="0" t="0"/>
                <wp:wrapNone/>
                <wp:docPr id="27" name=""/>
                <a:graphic>
                  <a:graphicData uri="http://schemas.microsoft.com/office/word/2010/wordprocessingShape">
                    <wps:wsp>
                      <wps:cNvSpPr/>
                      <wps:cNvPr id="28" name="Shape 28"/>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2273300</wp:posOffset>
                </wp:positionH>
                <wp:positionV relativeFrom="paragraph">
                  <wp:posOffset>-2552699</wp:posOffset>
                </wp:positionV>
                <wp:extent cx="12065" cy="13335"/>
                <wp:effectExtent b="0" l="0" r="0" t="0"/>
                <wp:wrapNone/>
                <wp:docPr id="27" name="image27.png"/>
                <a:graphic>
                  <a:graphicData uri="http://schemas.openxmlformats.org/drawingml/2006/picture">
                    <pic:pic>
                      <pic:nvPicPr>
                        <pic:cNvPr id="0" name="image27.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4864100</wp:posOffset>
                </wp:positionH>
                <wp:positionV relativeFrom="paragraph">
                  <wp:posOffset>-2552699</wp:posOffset>
                </wp:positionV>
                <wp:extent cx="12065" cy="22860"/>
                <wp:effectExtent b="0" l="0" r="0" t="0"/>
                <wp:wrapNone/>
                <wp:docPr id="22" name=""/>
                <a:graphic>
                  <a:graphicData uri="http://schemas.microsoft.com/office/word/2010/wordprocessingShape">
                    <wps:wsp>
                      <wps:cNvSpPr/>
                      <wps:cNvPr id="23" name="Shape 23"/>
                      <wps:spPr>
                        <a:xfrm>
                          <a:off x="5339968" y="3768570"/>
                          <a:ext cx="12065" cy="2286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4864100</wp:posOffset>
                </wp:positionH>
                <wp:positionV relativeFrom="paragraph">
                  <wp:posOffset>-2552699</wp:posOffset>
                </wp:positionV>
                <wp:extent cx="12065" cy="22860"/>
                <wp:effectExtent b="0" l="0" r="0" t="0"/>
                <wp:wrapNone/>
                <wp:docPr id="22" name="image22.png"/>
                <a:graphic>
                  <a:graphicData uri="http://schemas.openxmlformats.org/drawingml/2006/picture">
                    <pic:pic>
                      <pic:nvPicPr>
                        <pic:cNvPr id="0" name="image22.png"/>
                        <pic:cNvPicPr preferRelativeResize="0"/>
                      </pic:nvPicPr>
                      <pic:blipFill>
                        <a:blip r:embed="rId14"/>
                        <a:srcRect/>
                        <a:stretch>
                          <a:fillRect/>
                        </a:stretch>
                      </pic:blipFill>
                      <pic:spPr>
                        <a:xfrm>
                          <a:off x="0" y="0"/>
                          <a:ext cx="12065" cy="22860"/>
                        </a:xfrm>
                        <a:prstGeom prst="rect"/>
                        <a:ln/>
                      </pic:spPr>
                    </pic:pic>
                  </a:graphicData>
                </a:graphic>
              </wp:anchor>
            </w:drawing>
          </mc:Fallback>
        </mc:AlternateConten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 w:line="240" w:lineRule="auto"/>
        <w:ind w:left="400" w:right="11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Контроль якості і безпека продуктів харчування в ЕС.</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00"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4.Якість продуктів харчування як національна ідея. Контроль за безпекою продуктів харчування. </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00"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5.Проблеми ідентифікації та фальсифікації харчових продуктів. Основні системи забезпечення якості та безпеки мясної продукції. </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00"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6.Санітарні правили та норми по застосуванню харчових добавок. Гігіієнічні та генетичні аспекти застосування харчових добавок. Дозволені рівні споживання харчоих добавок.</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00"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Методи оцінки і контролю якості продукції галузі.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00"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8.Основні показники харчової цінності та безпеки харчової продукції. Методологія контролю якост харчової продукції..</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00" w:right="111" w:hanging="18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Фізичні, хімічні та фізико-хімічні методи оцінки якості продукції.</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00" w:right="111" w:hanging="18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10.Сучасні фізичні, хімічні та фізико-хімічні методи оцінки якості продукції. Сучасні прилади та реактиви. Приклади аналітичних реакцій.ї</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300" w:right="107" w:hanging="18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Безпечність харчових продуктів</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300" w:right="107" w:hanging="18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12.Мікотоксини. Радіактивне забруднення. Пестициди. Нітрати, нітрити, нітрозо аміни. Харчові добавки.</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00" w:right="0" w:hanging="18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Загальні теоретичні положення гідролізу солей. кількісні характеристики гідролізу та фактори, що на них впливають. Реакція середовища, як налсідок гідролізу. роль процесів гідролізу в харчових технологіях.</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00" w:right="0" w:hanging="188"/>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14.Контроль якості та безпеки продукції тваринництва..</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00" w:right="117" w:hanging="18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15.Основа контролю якості та безпечності продукції тваринництва. Якість агропромислової продукції як об’єкт управління. </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00" w:right="117" w:hanging="18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16.Фактори формування та забезпечення якості агропромислової продукції.</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00" w:right="117" w:hanging="18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 Правова основа контролю якості та безпечності харчових продуктів..</w:t>
        <w:tab/>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2273300</wp:posOffset>
                </wp:positionH>
                <wp:positionV relativeFrom="paragraph">
                  <wp:posOffset>-2806699</wp:posOffset>
                </wp:positionV>
                <wp:extent cx="12065" cy="13335"/>
                <wp:effectExtent b="0" l="0" r="0" t="0"/>
                <wp:wrapNone/>
                <wp:docPr id="23" name=""/>
                <a:graphic>
                  <a:graphicData uri="http://schemas.microsoft.com/office/word/2010/wordprocessingShape">
                    <wps:wsp>
                      <wps:cNvSpPr/>
                      <wps:cNvPr id="24" name="Shape 24"/>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2273300</wp:posOffset>
                </wp:positionH>
                <wp:positionV relativeFrom="paragraph">
                  <wp:posOffset>-2806699</wp:posOffset>
                </wp:positionV>
                <wp:extent cx="12065" cy="13335"/>
                <wp:effectExtent b="0" l="0" r="0" t="0"/>
                <wp:wrapNone/>
                <wp:docPr id="23" name="image23.png"/>
                <a:graphic>
                  <a:graphicData uri="http://schemas.openxmlformats.org/drawingml/2006/picture">
                    <pic:pic>
                      <pic:nvPicPr>
                        <pic:cNvPr id="0" name="image23.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2667000</wp:posOffset>
                </wp:positionH>
                <wp:positionV relativeFrom="paragraph">
                  <wp:posOffset>-2806699</wp:posOffset>
                </wp:positionV>
                <wp:extent cx="22225" cy="22860"/>
                <wp:effectExtent b="0" l="0" r="0" t="0"/>
                <wp:wrapNone/>
                <wp:docPr id="18" name=""/>
                <a:graphic>
                  <a:graphicData uri="http://schemas.microsoft.com/office/word/2010/wordprocessingShape">
                    <wps:wsp>
                      <wps:cNvSpPr/>
                      <wps:cNvPr id="19" name="Shape 19"/>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2667000</wp:posOffset>
                </wp:positionH>
                <wp:positionV relativeFrom="paragraph">
                  <wp:posOffset>-2806699</wp:posOffset>
                </wp:positionV>
                <wp:extent cx="22225" cy="22860"/>
                <wp:effectExtent b="0" l="0" r="0" t="0"/>
                <wp:wrapNone/>
                <wp:docPr id="18" name="image18.png"/>
                <a:graphic>
                  <a:graphicData uri="http://schemas.openxmlformats.org/drawingml/2006/picture">
                    <pic:pic>
                      <pic:nvPicPr>
                        <pic:cNvPr id="0" name="image18.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3048000</wp:posOffset>
                </wp:positionH>
                <wp:positionV relativeFrom="paragraph">
                  <wp:posOffset>-2806699</wp:posOffset>
                </wp:positionV>
                <wp:extent cx="22225" cy="22860"/>
                <wp:effectExtent b="0" l="0" r="0" t="0"/>
                <wp:wrapNone/>
                <wp:docPr id="20" name=""/>
                <a:graphic>
                  <a:graphicData uri="http://schemas.microsoft.com/office/word/2010/wordprocessingShape">
                    <wps:wsp>
                      <wps:cNvSpPr/>
                      <wps:cNvPr id="21" name="Shape 21"/>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3048000</wp:posOffset>
                </wp:positionH>
                <wp:positionV relativeFrom="paragraph">
                  <wp:posOffset>-2806699</wp:posOffset>
                </wp:positionV>
                <wp:extent cx="22225" cy="22860"/>
                <wp:effectExtent b="0" l="0" r="0" t="0"/>
                <wp:wrapNone/>
                <wp:docPr id="20" name="image20.png"/>
                <a:graphic>
                  <a:graphicData uri="http://schemas.openxmlformats.org/drawingml/2006/picture">
                    <pic:pic>
                      <pic:nvPicPr>
                        <pic:cNvPr id="0" name="image20.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3479800</wp:posOffset>
                </wp:positionH>
                <wp:positionV relativeFrom="paragraph">
                  <wp:posOffset>-2806699</wp:posOffset>
                </wp:positionV>
                <wp:extent cx="12065" cy="13335"/>
                <wp:effectExtent b="0" l="0" r="0" t="0"/>
                <wp:wrapNone/>
                <wp:docPr id="10" name=""/>
                <a:graphic>
                  <a:graphicData uri="http://schemas.microsoft.com/office/word/2010/wordprocessingShape">
                    <wps:wsp>
                      <wps:cNvSpPr/>
                      <wps:cNvPr id="11" name="Shape 11"/>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3479800</wp:posOffset>
                </wp:positionH>
                <wp:positionV relativeFrom="paragraph">
                  <wp:posOffset>-2806699</wp:posOffset>
                </wp:positionV>
                <wp:extent cx="12065" cy="13335"/>
                <wp:effectExtent b="0" l="0" r="0" t="0"/>
                <wp:wrapNone/>
                <wp:docPr id="10"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3860800</wp:posOffset>
                </wp:positionH>
                <wp:positionV relativeFrom="paragraph">
                  <wp:posOffset>-2806699</wp:posOffset>
                </wp:positionV>
                <wp:extent cx="22225" cy="22860"/>
                <wp:effectExtent b="0" l="0" r="0" t="0"/>
                <wp:wrapNone/>
                <wp:docPr id="8" name=""/>
                <a:graphic>
                  <a:graphicData uri="http://schemas.microsoft.com/office/word/2010/wordprocessingShape">
                    <wps:wsp>
                      <wps:cNvSpPr/>
                      <wps:cNvPr id="9" name="Shape 9"/>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3860800</wp:posOffset>
                </wp:positionH>
                <wp:positionV relativeFrom="paragraph">
                  <wp:posOffset>-2806699</wp:posOffset>
                </wp:positionV>
                <wp:extent cx="22225" cy="22860"/>
                <wp:effectExtent b="0" l="0" r="0" t="0"/>
                <wp:wrapNone/>
                <wp:docPr id="8"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4241800</wp:posOffset>
                </wp:positionH>
                <wp:positionV relativeFrom="paragraph">
                  <wp:posOffset>-2806699</wp:posOffset>
                </wp:positionV>
                <wp:extent cx="12065" cy="13335"/>
                <wp:effectExtent b="0" l="0" r="0" t="0"/>
                <wp:wrapNone/>
                <wp:docPr id="9" name=""/>
                <a:graphic>
                  <a:graphicData uri="http://schemas.microsoft.com/office/word/2010/wordprocessingShape">
                    <wps:wsp>
                      <wps:cNvSpPr/>
                      <wps:cNvPr id="10" name="Shape 10"/>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4241800</wp:posOffset>
                </wp:positionH>
                <wp:positionV relativeFrom="paragraph">
                  <wp:posOffset>-2806699</wp:posOffset>
                </wp:positionV>
                <wp:extent cx="12065" cy="13335"/>
                <wp:effectExtent b="0" l="0" r="0" t="0"/>
                <wp:wrapNone/>
                <wp:docPr id="9"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4864100</wp:posOffset>
                </wp:positionH>
                <wp:positionV relativeFrom="paragraph">
                  <wp:posOffset>-2806699</wp:posOffset>
                </wp:positionV>
                <wp:extent cx="12065" cy="13335"/>
                <wp:effectExtent b="0" l="0" r="0" t="0"/>
                <wp:wrapNone/>
                <wp:docPr id="6" name=""/>
                <a:graphic>
                  <a:graphicData uri="http://schemas.microsoft.com/office/word/2010/wordprocessingShape">
                    <wps:wsp>
                      <wps:cNvSpPr/>
                      <wps:cNvPr id="7" name="Shape 7"/>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4864100</wp:posOffset>
                </wp:positionH>
                <wp:positionV relativeFrom="paragraph">
                  <wp:posOffset>-2806699</wp:posOffset>
                </wp:positionV>
                <wp:extent cx="12065" cy="13335"/>
                <wp:effectExtent b="0" l="0" r="0" t="0"/>
                <wp:wrapNone/>
                <wp:docPr id="6"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5143500</wp:posOffset>
                </wp:positionH>
                <wp:positionV relativeFrom="paragraph">
                  <wp:posOffset>-2806699</wp:posOffset>
                </wp:positionV>
                <wp:extent cx="12065" cy="13335"/>
                <wp:effectExtent b="0" l="0" r="0" t="0"/>
                <wp:wrapNone/>
                <wp:docPr id="7" name=""/>
                <a:graphic>
                  <a:graphicData uri="http://schemas.microsoft.com/office/word/2010/wordprocessingShape">
                    <wps:wsp>
                      <wps:cNvSpPr/>
                      <wps:cNvPr id="8" name="Shape 8"/>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5143500</wp:posOffset>
                </wp:positionH>
                <wp:positionV relativeFrom="paragraph">
                  <wp:posOffset>-2806699</wp:posOffset>
                </wp:positionV>
                <wp:extent cx="12065" cy="13335"/>
                <wp:effectExtent b="0" l="0" r="0" t="0"/>
                <wp:wrapNone/>
                <wp:docPr id="7"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5486400</wp:posOffset>
                </wp:positionH>
                <wp:positionV relativeFrom="paragraph">
                  <wp:posOffset>-2806699</wp:posOffset>
                </wp:positionV>
                <wp:extent cx="22225" cy="22860"/>
                <wp:effectExtent b="0" l="0" r="0" t="0"/>
                <wp:wrapNone/>
                <wp:docPr id="12" name=""/>
                <a:graphic>
                  <a:graphicData uri="http://schemas.microsoft.com/office/word/2010/wordprocessingShape">
                    <wps:wsp>
                      <wps:cNvSpPr/>
                      <wps:cNvPr id="13" name="Shape 13"/>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5486400</wp:posOffset>
                </wp:positionH>
                <wp:positionV relativeFrom="paragraph">
                  <wp:posOffset>-2806699</wp:posOffset>
                </wp:positionV>
                <wp:extent cx="22225" cy="22860"/>
                <wp:effectExtent b="0" l="0" r="0" t="0"/>
                <wp:wrapNone/>
                <wp:docPr id="12"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5854700</wp:posOffset>
                </wp:positionH>
                <wp:positionV relativeFrom="paragraph">
                  <wp:posOffset>-2806699</wp:posOffset>
                </wp:positionV>
                <wp:extent cx="22225" cy="22860"/>
                <wp:effectExtent b="0" l="0" r="0" t="0"/>
                <wp:wrapNone/>
                <wp:docPr id="13" name=""/>
                <a:graphic>
                  <a:graphicData uri="http://schemas.microsoft.com/office/word/2010/wordprocessingShape">
                    <wps:wsp>
                      <wps:cNvSpPr/>
                      <wps:cNvPr id="14" name="Shape 14"/>
                      <wps:spPr>
                        <a:xfrm>
                          <a:off x="5339650" y="3773333"/>
                          <a:ext cx="12700"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5854700</wp:posOffset>
                </wp:positionH>
                <wp:positionV relativeFrom="paragraph">
                  <wp:posOffset>-2806699</wp:posOffset>
                </wp:positionV>
                <wp:extent cx="22225" cy="22860"/>
                <wp:effectExtent b="0" l="0" r="0" t="0"/>
                <wp:wrapNone/>
                <wp:docPr id="13"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22225" cy="2286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6184900</wp:posOffset>
                </wp:positionH>
                <wp:positionV relativeFrom="paragraph">
                  <wp:posOffset>-2806699</wp:posOffset>
                </wp:positionV>
                <wp:extent cx="12065" cy="13335"/>
                <wp:effectExtent b="0" l="0" r="0" t="0"/>
                <wp:wrapNone/>
                <wp:docPr id="11" name=""/>
                <a:graphic>
                  <a:graphicData uri="http://schemas.microsoft.com/office/word/2010/wordprocessingShape">
                    <wps:wsp>
                      <wps:cNvSpPr/>
                      <wps:cNvPr id="12" name="Shape 12"/>
                      <wps:spPr>
                        <a:xfrm>
                          <a:off x="5339968" y="3773333"/>
                          <a:ext cx="12065" cy="1333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6184900</wp:posOffset>
                </wp:positionH>
                <wp:positionV relativeFrom="paragraph">
                  <wp:posOffset>-2806699</wp:posOffset>
                </wp:positionV>
                <wp:extent cx="12065" cy="13335"/>
                <wp:effectExtent b="0" l="0" r="0" t="0"/>
                <wp:wrapNone/>
                <wp:docPr id="11" name="image11.png"/>
                <a:graphic>
                  <a:graphicData uri="http://schemas.openxmlformats.org/drawingml/2006/picture">
                    <pic:pic>
                      <pic:nvPicPr>
                        <pic:cNvPr id="0" name="image11.png"/>
                        <pic:cNvPicPr preferRelativeResize="0"/>
                      </pic:nvPicPr>
                      <pic:blipFill>
                        <a:blip r:embed="rId14"/>
                        <a:srcRect/>
                        <a:stretch>
                          <a:fillRect/>
                        </a:stretch>
                      </pic:blipFill>
                      <pic:spPr>
                        <a:xfrm>
                          <a:off x="0" y="0"/>
                          <a:ext cx="12065" cy="13335"/>
                        </a:xfrm>
                        <a:prstGeom prst="rect"/>
                        <a:ln/>
                      </pic:spPr>
                    </pic:pic>
                  </a:graphicData>
                </a:graphic>
              </wp:anchor>
            </w:drawing>
          </mc:Fallback>
        </mc:AlternateConten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18.Правова основа контролю якості та безпечності харчових продуктів тваринництва. 19.Обєкт і структура кваліметрії, як науки про вимірювання і кількісне оцінювання якості продукції. Принципи і задачі кваліметрії. Проблема якості продуктів харчування. Показники якості продукції.</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 Контроль якості та безпеки продукції рослинного походження.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21.Основні положення Закону України, щодо контролю виробництва продуктів рослинного походження, що контролюють виробництво для забезпечення випуску якісної та безпечної продовольчої продукції. </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22.Небезпечні хімічні сполуки, що можуть мати місце в продуктах рослинного походження. Геннетично модифікована рослинна продукція.</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 Система управління безпекою харчових продуктів. Основні положення НАССР.  Поняття системи НАССР. ЇЇ використання пи оцінки якості продуктів харчування.</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2"/>
          <w:szCs w:val="22"/>
          <w:u w:val="none"/>
          <w:shd w:fill="auto" w:val="clear"/>
          <w:vertAlign w:val="baseline"/>
          <w:rtl w:val="0"/>
        </w:rPr>
        <w:t xml:space="preserve">ЛІТЕРАТУРА</w:t>
      </w: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Основна</w:t>
      </w: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00"/>
        </w:tabs>
        <w:spacing w:after="0" w:before="0" w:line="234" w:lineRule="auto"/>
        <w:ind w:left="100" w:right="4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Мельник С. Р., Мельник Ю. Р., Дзіняк Б. О., Піх З. Г. Контроль якості та безпечності харчових продуктів. Навчальний посібник. Львів: Видавництво “Левада”, 2018. 224 с.</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00"/>
        </w:tabs>
        <w:spacing w:after="0" w:before="0" w:line="236" w:lineRule="auto"/>
        <w:ind w:left="100" w:right="4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Попова Н. В., Арсеньєва Л. Ю., Мисюра Т. Г. Контроль якості та безпечності продукції галузі: Курс лекцій для студ. напряму 6.051701 "Харчові технології та інженерія" ден. та заоч. форм навч. — К.: НУХТ, 2012. — 175 с.</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Домарецький І.М. Екологія харчових продуктів / І.М. Домарецький, Т.П. Златов / – К.:</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Урожай, 2003. – 188 с.</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00"/>
          <w:tab w:val="left" w:leader="none" w:pos="841"/>
        </w:tabs>
        <w:spacing w:after="0" w:before="0" w:line="234" w:lineRule="auto"/>
        <w:ind w:left="100" w:right="66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Димань Т.М. Безпека продовольчої сировини і харчових продуктів / Т.М. Димань, Т.Г. Мазур. – К.: ВЦ "Академія", 2011. – 520с.</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Закон України “Про якість та безпеку харчових продуктів і продовольчої сировини”. ВВР,</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2005 р.</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00"/>
          <w:tab w:val="left" w:leader="none" w:pos="841"/>
        </w:tabs>
        <w:spacing w:after="0" w:before="0" w:line="234" w:lineRule="auto"/>
        <w:ind w:left="100" w:right="4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ДСТУ ISO 22000:2007 Системи управління безпечністю харчових продуктів. - Вид. офіц. - К.:Держспоживстандарт України, 2007.- 30 с.</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00"/>
        </w:tabs>
        <w:spacing w:after="0" w:before="0" w:line="234" w:lineRule="auto"/>
        <w:ind w:left="100" w:right="4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Токсичні речовини у харчових продуктах та методи їх визначення / Дубініна А.А., Малюк Л.П., Селютіна Г.А. та ін. – К.: ВД Професіонал, 2007.</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34" w:lineRule="auto"/>
        <w:ind w:left="100" w:right="40" w:firstLine="40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9.Пономарьов П. Х. Безпека харчових продуктів та продовольчої сировини. Навчальний посібник / П.Х. Пономарьов, І.В. Сирохман /- К.: Лібра, 2009.- 272 с.</w:t>
      </w: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100" w:right="0" w:firstLine="40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0"/>
        </w:tabs>
        <w:spacing w:after="0" w:before="0" w:line="236" w:lineRule="auto"/>
        <w:ind w:left="100" w:right="4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10.Черевко, О. І. Методи контролю якості харчової продукції: навч. посіб. / О. І. Черевко, Л. М. Крайнюк, Л. О. Касілова, Л. Р. Димитрієвич ; за ред. Л.М.Крайнюк. — Суми : Університетська книга, 2012. — 512 с.</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318" w:right="10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Додаткова</w:t>
      </w: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88"/>
        </w:tabs>
        <w:spacing w:after="0" w:before="0" w:line="236" w:lineRule="auto"/>
        <w:ind w:left="0" w:right="4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1.Системи управління безпечністю харчових продуктів. Вимоги до будь-яких організацій харчового ланцюга: ДСТУ ISO 22000:2007. – [Чинний від 2007-04-02]. – К.: Держспоживстандарт України, 2007. – 40 с. – (Національний стандарт України).</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0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80"/>
        </w:tabs>
        <w:spacing w:after="0" w:before="0" w:line="240" w:lineRule="auto"/>
        <w:ind w:left="0" w:right="0" w:firstLine="40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2.Система  управління  якістю.  Основні  положення  та  словник  термінів:  ДСТУ  ISO</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0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4" w:lineRule="auto"/>
        <w:ind w:left="0" w:right="40" w:firstLine="40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9000:2015. – [Чинний від 2017-01-01]. – К.: Держспоживстандарт України, 2016. – 40 с. – (Національний стандарт України).</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88"/>
        </w:tabs>
        <w:spacing w:after="0" w:before="0" w:line="260" w:lineRule="auto"/>
        <w:ind w:left="0" w:right="40" w:firstLine="40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88"/>
        </w:tabs>
        <w:spacing w:after="0" w:before="0" w:line="260" w:lineRule="auto"/>
        <w:ind w:left="0" w:right="40" w:firstLine="40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4.Штангеєва, Н. І. Методи контролю харчових виробництв: лабор. практикум: навч. посіб. / Н. І. Штангеєва, Л. І. Чернявська, Л. П. Рева та ін. ; Мво освіти і науки України, УДУХТ. —</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0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 : УДУХТ, 2000. — 240 с.</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5"/>
        </w:tabs>
        <w:spacing w:after="0" w:before="0" w:line="23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0"/>
        </w:tabs>
        <w:spacing w:after="0" w:before="0" w:line="240" w:lineRule="auto"/>
        <w:ind w:left="413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0"/>
        </w:tabs>
        <w:spacing w:after="0" w:before="0" w:line="240" w:lineRule="auto"/>
        <w:ind w:left="413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0"/>
        </w:tabs>
        <w:spacing w:after="0" w:before="0" w:line="240" w:lineRule="auto"/>
        <w:ind w:left="413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0"/>
        </w:tabs>
        <w:spacing w:after="0" w:before="0" w:line="240" w:lineRule="auto"/>
        <w:ind w:left="413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0"/>
        </w:tabs>
        <w:spacing w:after="0" w:before="0" w:line="240" w:lineRule="auto"/>
        <w:ind w:left="413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Ресурси</w:t>
      </w: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720" w:right="0" w:hanging="5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Навчально-інформаційний портал ТДАТУ</w:t>
      </w:r>
      <w:r w:rsidDel="00000000" w:rsidR="00000000" w:rsidRPr="00000000">
        <w:rPr>
          <w:rFonts w:ascii="Arial" w:cs="Arial" w:eastAsia="Arial" w:hAnsi="Arial"/>
          <w:b w:val="0"/>
          <w:i w:val="0"/>
          <w:smallCaps w:val="0"/>
          <w:strike w:val="0"/>
          <w:color w:val="0000ff"/>
          <w:sz w:val="22"/>
          <w:szCs w:val="22"/>
          <w:u w:val="none"/>
          <w:shd w:fill="auto" w:val="clear"/>
          <w:vertAlign w:val="baseline"/>
          <w:rtl w:val="0"/>
        </w:rPr>
        <w:t xml:space="preserve"> </w:t>
      </w:r>
      <w:hyperlink r:id="rId15">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http://nip.tsatu.edu.ua</w:t>
        </w:r>
      </w:hyperlink>
      <w:r w:rsidDel="00000000" w:rsidR="00000000" w:rsidRPr="00000000">
        <w:rPr>
          <w:rtl w:val="0"/>
        </w:rPr>
      </w:r>
    </w:p>
    <w:p w:rsidR="00000000" w:rsidDel="00000000" w:rsidP="00000000" w:rsidRDefault="00000000" w:rsidRPr="00000000" w14:paraId="000002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00"/>
        </w:tabs>
        <w:spacing w:after="0" w:before="0" w:line="240" w:lineRule="auto"/>
        <w:ind w:left="720" w:right="0" w:hanging="5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Наукова бібліотека ТДАТУ</w:t>
      </w:r>
      <w:r w:rsidDel="00000000" w:rsidR="00000000" w:rsidRPr="00000000">
        <w:rPr>
          <w:rFonts w:ascii="Arial" w:cs="Arial" w:eastAsia="Arial" w:hAnsi="Arial"/>
          <w:b w:val="0"/>
          <w:i w:val="0"/>
          <w:smallCaps w:val="0"/>
          <w:strike w:val="0"/>
          <w:color w:val="0000ff"/>
          <w:sz w:val="22"/>
          <w:szCs w:val="22"/>
          <w:u w:val="none"/>
          <w:shd w:fill="auto" w:val="clear"/>
          <w:vertAlign w:val="baseline"/>
          <w:rtl w:val="0"/>
        </w:rPr>
        <w:t xml:space="preserve"> </w:t>
      </w:r>
      <w:hyperlink r:id="rId16">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http://www.tsatu.edu.ua/biblioteka/</w:t>
        </w:r>
      </w:hyperlink>
      <w:r w:rsidDel="00000000" w:rsidR="00000000" w:rsidRPr="00000000">
        <w:rPr>
          <w:rtl w:val="0"/>
        </w:rPr>
      </w:r>
    </w:p>
    <w:p w:rsidR="00000000" w:rsidDel="00000000" w:rsidP="00000000" w:rsidRDefault="00000000" w:rsidRPr="00000000" w14:paraId="000002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00"/>
          <w:tab w:val="left" w:leader="none" w:pos="320"/>
        </w:tabs>
        <w:spacing w:after="0" w:before="0" w:line="240" w:lineRule="auto"/>
        <w:ind w:left="320" w:right="0" w:hanging="244"/>
        <w:jc w:val="left"/>
        <w:rPr>
          <w:rFonts w:ascii="Calibri" w:cs="Calibri" w:eastAsia="Calibri" w:hAnsi="Calibri"/>
          <w:b w:val="0"/>
          <w:i w:val="0"/>
          <w:smallCaps w:val="0"/>
          <w:strike w:val="0"/>
          <w:color w:val="0563c1"/>
          <w:sz w:val="24"/>
          <w:szCs w:val="24"/>
          <w:u w:val="single"/>
          <w:shd w:fill="auto" w:val="clear"/>
          <w:vertAlign w:val="baseline"/>
        </w:rPr>
      </w:pPr>
      <w:hyperlink r:id="rId17">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https://ips.ligazakon.net/document/JG3UI00A</w:t>
        </w:r>
      </w:hyperlink>
      <w:r w:rsidDel="00000000" w:rsidR="00000000" w:rsidRPr="00000000">
        <w:rPr>
          <w:rtl w:val="0"/>
        </w:rPr>
      </w:r>
    </w:p>
    <w:p w:rsidR="00000000" w:rsidDel="00000000" w:rsidP="00000000" w:rsidRDefault="00000000" w:rsidRPr="00000000" w14:paraId="000002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00"/>
          <w:tab w:val="left" w:leader="none" w:pos="320"/>
        </w:tabs>
        <w:spacing w:after="0" w:before="0" w:line="240" w:lineRule="auto"/>
        <w:ind w:left="320" w:right="0" w:hanging="244"/>
        <w:jc w:val="left"/>
        <w:rPr>
          <w:rFonts w:ascii="Calibri" w:cs="Calibri" w:eastAsia="Calibri" w:hAnsi="Calibri"/>
          <w:b w:val="0"/>
          <w:i w:val="0"/>
          <w:smallCaps w:val="0"/>
          <w:strike w:val="0"/>
          <w:color w:val="0563c1"/>
          <w:sz w:val="24"/>
          <w:szCs w:val="24"/>
          <w:u w:val="single"/>
          <w:shd w:fill="auto" w:val="clear"/>
          <w:vertAlign w:val="baseline"/>
        </w:rPr>
      </w:pPr>
      <w:hyperlink r:id="rId18">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https://smr.gov.ua/images/misto/Pipryemstvo/Harchuvannya/6._posibnyk_nassr.pdf</w:t>
        </w:r>
      </w:hyperlink>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0"/>
          <w:tab w:val="left" w:leader="none" w:pos="426"/>
          <w:tab w:val="left" w:leader="none" w:pos="1236"/>
        </w:tabs>
        <w:spacing w:after="0" w:before="0" w:line="240" w:lineRule="auto"/>
        <w:ind w:left="200" w:right="0" w:hanging="26.999999999999993"/>
        <w:jc w:val="left"/>
        <w:rPr>
          <w:rFonts w:ascii="Calibri" w:cs="Calibri" w:eastAsia="Calibri" w:hAnsi="Calibri"/>
          <w:b w:val="0"/>
          <w:i w:val="0"/>
          <w:smallCaps w:val="0"/>
          <w:strike w:val="0"/>
          <w:color w:val="000000"/>
          <w:sz w:val="20"/>
          <w:szCs w:val="20"/>
          <w:u w:val="none"/>
          <w:shd w:fill="auto" w:val="clear"/>
          <w:vertAlign w:val="baseline"/>
        </w:rPr>
      </w:pPr>
      <w:hyperlink r:id="rId19">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http://zakon4.rada.gov.ua/laws/show/468-2009-п</w:t>
        </w:r>
      </w:hyperlink>
      <w:hyperlink r:id="rId2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sectPr>
      <w:type w:val="continuous"/>
      <w:pgSz w:h="16838" w:w="11900" w:orient="portrait"/>
      <w:pgMar w:bottom="709" w:top="709" w:left="1100" w:right="70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429"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0" w:firstLine="0"/>
      </w:pPr>
      <w:rPr>
        <w:vertAlign w:val="baseline"/>
      </w:rPr>
    </w:lvl>
    <w:lvl w:ilvl="1">
      <w:start w:val="1"/>
      <w:numFmt w:val="decimal"/>
      <w:lvlText w:val="%2"/>
      <w:lvlJc w:val="left"/>
      <w:pPr>
        <w:ind w:left="0" w:firstLine="0"/>
      </w:pPr>
      <w:rPr>
        <w:vertAlign w:val="baseline"/>
      </w:rPr>
    </w:lvl>
    <w:lvl w:ilvl="2">
      <w:start w:val="1"/>
      <w:numFmt w:val="decimal"/>
      <w:lvlText w:val="%3"/>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4">
    <w:lvl w:ilvl="0">
      <w:start w:val="1"/>
      <w:numFmt w:val="decimal"/>
      <w:lvlText w:val="%1."/>
      <w:lvlJc w:val="left"/>
      <w:pPr>
        <w:ind w:left="0" w:firstLine="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5">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style>
  <w:style w:type="paragraph" w:styleId="Заголовок1">
    <w:name w:val="Заголовок 1"/>
    <w:basedOn w:val="Обычный"/>
    <w:next w:val="Заголовок1"/>
    <w:autoRedefine w:val="0"/>
    <w:hidden w:val="0"/>
    <w:qFormat w:val="0"/>
    <w:pPr>
      <w:widowControl w:val="0"/>
      <w:suppressAutoHyphens w:val="1"/>
      <w:autoSpaceDE w:val="0"/>
      <w:autoSpaceDN w:val="0"/>
      <w:spacing w:before="75" w:line="1" w:lineRule="atLeast"/>
      <w:ind w:left="1318" w:leftChars="-1" w:rightChars="0" w:firstLineChars="-1"/>
      <w:jc w:val="center"/>
      <w:textDirection w:val="btLr"/>
      <w:textAlignment w:val="top"/>
      <w:outlineLvl w:val="0"/>
    </w:pPr>
    <w:rPr>
      <w:rFonts w:ascii="Arial" w:cs="Arial" w:eastAsia="Times New Roman" w:hAnsi="Arial"/>
      <w:b w:val="1"/>
      <w:bCs w:val="1"/>
      <w:w w:val="100"/>
      <w:position w:val="-1"/>
      <w:sz w:val="28"/>
      <w:szCs w:val="28"/>
      <w:effect w:val="none"/>
      <w:vertAlign w:val="baseline"/>
      <w:cs w:val="0"/>
      <w:em w:val="none"/>
      <w:lang w:bidi="ar-SA" w:eastAsia="en-US" w:val="en-US"/>
    </w:rPr>
  </w:style>
  <w:style w:type="paragraph" w:styleId="Заголовок2">
    <w:name w:val="Заголовок 2"/>
    <w:basedOn w:val="Обычный"/>
    <w:next w:val="Обычный"/>
    <w:autoRedefine w:val="0"/>
    <w:hidden w:val="0"/>
    <w:qFormat w:val="0"/>
    <w:pPr>
      <w:keepNext w:val="1"/>
      <w:suppressAutoHyphens w:val="1"/>
      <w:spacing w:after="60" w:before="240" w:line="1" w:lineRule="atLeast"/>
      <w:ind w:leftChars="-1" w:rightChars="0" w:firstLineChars="-1"/>
      <w:textDirection w:val="btLr"/>
      <w:textAlignment w:val="top"/>
      <w:outlineLvl w:val="1"/>
    </w:pPr>
    <w:rPr>
      <w:rFonts w:ascii="Cambria" w:cs="Times New Roman" w:eastAsia="Times New Roman" w:hAnsi="Cambria"/>
      <w:b w:val="1"/>
      <w:bCs w:val="1"/>
      <w:i w:val="1"/>
      <w:iCs w:val="1"/>
      <w:w w:val="100"/>
      <w:position w:val="-1"/>
      <w:sz w:val="28"/>
      <w:szCs w:val="28"/>
      <w:effect w:val="none"/>
      <w:vertAlign w:val="baseline"/>
      <w:cs w:val="0"/>
      <w:em w:val="none"/>
      <w:lang w:bidi="ar-SA" w:eastAsia="ru-RU" w:val="und"/>
    </w:rPr>
  </w:style>
  <w:style w:type="paragraph" w:styleId="Заголовок3">
    <w:name w:val="Заголовок 3"/>
    <w:basedOn w:val="Обычный"/>
    <w:next w:val="Обычный"/>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Cambria" w:cs="Times New Roman" w:eastAsia="Times New Roman" w:hAnsi="Cambria"/>
      <w:b w:val="1"/>
      <w:bCs w:val="1"/>
      <w:w w:val="100"/>
      <w:position w:val="-1"/>
      <w:sz w:val="26"/>
      <w:szCs w:val="26"/>
      <w:effect w:val="none"/>
      <w:vertAlign w:val="baseline"/>
      <w:cs w:val="0"/>
      <w:em w:val="none"/>
      <w:lang w:bidi="ar-SA" w:eastAsia="ru-RU" w:val="und"/>
    </w:rPr>
  </w:style>
  <w:style w:type="paragraph" w:styleId="Заголовок4">
    <w:name w:val="Заголовок 4"/>
    <w:basedOn w:val="Обычный"/>
    <w:next w:val="Обычный"/>
    <w:autoRedefine w:val="0"/>
    <w:hidden w:val="0"/>
    <w:qFormat w:val="0"/>
    <w:pPr>
      <w:keepNext w:val="1"/>
      <w:keepLines w:val="1"/>
      <w:suppressAutoHyphens w:val="1"/>
      <w:spacing w:before="200" w:line="276" w:lineRule="auto"/>
      <w:ind w:leftChars="-1" w:rightChars="0" w:firstLineChars="-1"/>
      <w:textDirection w:val="btLr"/>
      <w:textAlignment w:val="top"/>
      <w:outlineLvl w:val="3"/>
    </w:pPr>
    <w:rPr>
      <w:rFonts w:ascii="Cambria" w:cs="Times New Roman" w:eastAsia="Times New Roman" w:hAnsi="Cambria"/>
      <w:b w:val="1"/>
      <w:bCs w:val="1"/>
      <w:i w:val="1"/>
      <w:iCs w:val="1"/>
      <w:color w:val="4f81bd"/>
      <w:w w:val="100"/>
      <w:position w:val="-1"/>
      <w:effect w:val="none"/>
      <w:vertAlign w:val="baseline"/>
      <w:cs w:val="0"/>
      <w:em w:val="none"/>
      <w:lang w:bidi="ar-SA" w:eastAsia="und" w:val="und"/>
    </w:rPr>
  </w:style>
  <w:style w:type="paragraph" w:styleId="Заголовок5">
    <w:name w:val="Заголовок 5"/>
    <w:basedOn w:val="Обычный"/>
    <w:next w:val="Обычный"/>
    <w:autoRedefine w:val="0"/>
    <w:hidden w:val="0"/>
    <w:qFormat w:val="0"/>
    <w:pPr>
      <w:suppressAutoHyphens w:val="1"/>
      <w:spacing w:after="60" w:before="240" w:line="1" w:lineRule="atLeast"/>
      <w:ind w:leftChars="-1" w:rightChars="0" w:firstLineChars="-1"/>
      <w:textDirection w:val="btLr"/>
      <w:textAlignment w:val="top"/>
      <w:outlineLvl w:val="4"/>
    </w:pPr>
    <w:rPr>
      <w:b w:val="1"/>
      <w:bCs w:val="1"/>
      <w:i w:val="1"/>
      <w:iCs w:val="1"/>
      <w:w w:val="100"/>
      <w:position w:val="-1"/>
      <w:sz w:val="26"/>
      <w:szCs w:val="26"/>
      <w:effect w:val="none"/>
      <w:vertAlign w:val="baseline"/>
      <w:cs w:val="0"/>
      <w:em w:val="none"/>
      <w:lang w:bidi="ar-SA" w:eastAsia="ru-RU" w:val="und"/>
    </w:rPr>
  </w:style>
  <w:style w:type="paragraph" w:styleId="Заголовок6">
    <w:name w:val="Заголовок 6"/>
    <w:basedOn w:val="Обычный"/>
    <w:next w:val="Обычный"/>
    <w:autoRedefine w:val="0"/>
    <w:hidden w:val="0"/>
    <w:qFormat w:val="0"/>
    <w:pPr>
      <w:suppressAutoHyphens w:val="1"/>
      <w:spacing w:after="60" w:before="240" w:line="1" w:lineRule="atLeast"/>
      <w:ind w:leftChars="-1" w:rightChars="0" w:firstLineChars="-1"/>
      <w:textDirection w:val="btLr"/>
      <w:textAlignment w:val="top"/>
      <w:outlineLvl w:val="5"/>
    </w:pPr>
    <w:rPr>
      <w:b w:val="1"/>
      <w:bCs w:val="1"/>
      <w:w w:val="100"/>
      <w:position w:val="-1"/>
      <w:effect w:val="none"/>
      <w:vertAlign w:val="baseline"/>
      <w:cs w:val="0"/>
      <w:em w:val="none"/>
      <w:lang w:bidi="ar-SA" w:eastAsia="ru-RU" w:val="und"/>
    </w:rPr>
  </w:style>
  <w:style w:type="paragraph" w:styleId="Заголовок7">
    <w:name w:val="Заголовок 7"/>
    <w:basedOn w:val="Обычный"/>
    <w:next w:val="Обычный"/>
    <w:autoRedefine w:val="0"/>
    <w:hidden w:val="0"/>
    <w:qFormat w:val="0"/>
    <w:pPr>
      <w:keepNext w:val="1"/>
      <w:keepLines w:val="1"/>
      <w:suppressAutoHyphens w:val="1"/>
      <w:spacing w:before="200" w:line="276" w:lineRule="auto"/>
      <w:ind w:leftChars="-1" w:rightChars="0" w:firstLineChars="-1"/>
      <w:textDirection w:val="btLr"/>
      <w:textAlignment w:val="top"/>
      <w:outlineLvl w:val="6"/>
    </w:pPr>
    <w:rPr>
      <w:rFonts w:ascii="Cambria" w:cs="Times New Roman" w:eastAsia="Times New Roman" w:hAnsi="Cambria"/>
      <w:i w:val="1"/>
      <w:iCs w:val="1"/>
      <w:color w:val="404040"/>
      <w:w w:val="100"/>
      <w:position w:val="-1"/>
      <w:effect w:val="none"/>
      <w:vertAlign w:val="baseline"/>
      <w:cs w:val="0"/>
      <w:em w:val="none"/>
      <w:lang w:bidi="ar-SA" w:eastAsia="und" w:val="und"/>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character" w:styleId="Заголовок2Знак">
    <w:name w:val="Заголовок 2 Знак"/>
    <w:next w:val="Заголовок2Знак"/>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eastAsia="ru-RU"/>
    </w:rPr>
  </w:style>
  <w:style w:type="character" w:styleId="Заголовок3Знак">
    <w:name w:val="Заголовок 3 Знак"/>
    <w:next w:val="Заголовок3Знак"/>
    <w:autoRedefine w:val="0"/>
    <w:hidden w:val="0"/>
    <w:qFormat w:val="0"/>
    <w:rPr>
      <w:rFonts w:ascii="Cambria" w:cs="Times New Roman" w:eastAsia="Times New Roman" w:hAnsi="Cambria"/>
      <w:b w:val="1"/>
      <w:bCs w:val="1"/>
      <w:w w:val="100"/>
      <w:position w:val="-1"/>
      <w:sz w:val="26"/>
      <w:szCs w:val="26"/>
      <w:effect w:val="none"/>
      <w:vertAlign w:val="baseline"/>
      <w:cs w:val="0"/>
      <w:em w:val="none"/>
      <w:lang w:eastAsia="ru-RU"/>
    </w:rPr>
  </w:style>
  <w:style w:type="character" w:styleId="Заголовок4Знак">
    <w:name w:val="Заголовок 4 Знак"/>
    <w:next w:val="Заголовок4Знак"/>
    <w:autoRedefine w:val="0"/>
    <w:hidden w:val="0"/>
    <w:qFormat w:val="0"/>
    <w:rPr>
      <w:rFonts w:ascii="Cambria" w:cs="Times New Roman" w:eastAsia="Times New Roman" w:hAnsi="Cambria"/>
      <w:b w:val="1"/>
      <w:bCs w:val="1"/>
      <w:i w:val="1"/>
      <w:iCs w:val="1"/>
      <w:color w:val="4f81bd"/>
      <w:w w:val="100"/>
      <w:position w:val="-1"/>
      <w:effect w:val="none"/>
      <w:vertAlign w:val="baseline"/>
      <w:cs w:val="0"/>
      <w:em w:val="none"/>
      <w:lang/>
    </w:rPr>
  </w:style>
  <w:style w:type="character" w:styleId="Заголовок5Знак">
    <w:name w:val="Заголовок 5 Знак"/>
    <w:next w:val="Заголовок5Знак"/>
    <w:autoRedefine w:val="0"/>
    <w:hidden w:val="0"/>
    <w:qFormat w:val="0"/>
    <w:rPr>
      <w:b w:val="1"/>
      <w:bCs w:val="1"/>
      <w:i w:val="1"/>
      <w:iCs w:val="1"/>
      <w:w w:val="100"/>
      <w:position w:val="-1"/>
      <w:sz w:val="26"/>
      <w:szCs w:val="26"/>
      <w:effect w:val="none"/>
      <w:vertAlign w:val="baseline"/>
      <w:cs w:val="0"/>
      <w:em w:val="none"/>
      <w:lang w:eastAsia="ru-RU"/>
    </w:rPr>
  </w:style>
  <w:style w:type="character" w:styleId="Заголовок6Знак">
    <w:name w:val="Заголовок 6 Знак"/>
    <w:next w:val="Заголовок6Знак"/>
    <w:autoRedefine w:val="0"/>
    <w:hidden w:val="0"/>
    <w:qFormat w:val="0"/>
    <w:rPr>
      <w:b w:val="1"/>
      <w:bCs w:val="1"/>
      <w:w w:val="100"/>
      <w:position w:val="-1"/>
      <w:effect w:val="none"/>
      <w:vertAlign w:val="baseline"/>
      <w:cs w:val="0"/>
      <w:em w:val="none"/>
      <w:lang w:eastAsia="ru-RU"/>
    </w:rPr>
  </w:style>
  <w:style w:type="character" w:styleId="Заголовок7Знак">
    <w:name w:val="Заголовок 7 Знак"/>
    <w:next w:val="Заголовок7Знак"/>
    <w:autoRedefine w:val="0"/>
    <w:hidden w:val="0"/>
    <w:qFormat w:val="0"/>
    <w:rPr>
      <w:rFonts w:ascii="Cambria" w:cs="Times New Roman" w:eastAsia="Times New Roman" w:hAnsi="Cambria"/>
      <w:i w:val="1"/>
      <w:iCs w:val="1"/>
      <w:color w:val="404040"/>
      <w:w w:val="100"/>
      <w:position w:val="-1"/>
      <w:effect w:val="none"/>
      <w:vertAlign w:val="baseline"/>
      <w:cs w:val="0"/>
      <w:em w:val="none"/>
      <w:lang/>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line="360" w:lineRule="auto"/>
      <w:ind w:leftChars="-1" w:rightChars="0" w:firstLine="567" w:firstLineChars="-1"/>
      <w:jc w:val="both"/>
      <w:textDirection w:val="btLr"/>
      <w:textAlignment w:val="top"/>
      <w:outlineLvl w:val="0"/>
    </w:pPr>
    <w:rPr>
      <w:rFonts w:ascii="Times New Roman" w:cs="Times New Roman" w:eastAsia="Times New Roman" w:hAnsi="Times New Roman"/>
      <w:w w:val="100"/>
      <w:position w:val="-1"/>
      <w:sz w:val="28"/>
      <w:effect w:val="none"/>
      <w:vertAlign w:val="baseline"/>
      <w:cs w:val="0"/>
      <w:em w:val="none"/>
      <w:lang w:bidi="ar-SA" w:eastAsia="ru-RU" w:val="uk-UA"/>
    </w:rPr>
  </w:style>
  <w:style w:type="character" w:styleId="Основнойтекстсотступом2Знак">
    <w:name w:val="Основной текст с отступом 2 Знак"/>
    <w:next w:val="Основнойтекстсотступом2Знак"/>
    <w:autoRedefine w:val="0"/>
    <w:hidden w:val="0"/>
    <w:qFormat w:val="0"/>
    <w:rPr>
      <w:rFonts w:ascii="Times New Roman" w:cs="Times New Roman" w:eastAsia="Times New Roman" w:hAnsi="Times New Roman"/>
      <w:w w:val="100"/>
      <w:position w:val="-1"/>
      <w:sz w:val="28"/>
      <w:szCs w:val="20"/>
      <w:effect w:val="none"/>
      <w:vertAlign w:val="baseline"/>
      <w:cs w:val="0"/>
      <w:em w:val="none"/>
      <w:lang w:eastAsia="ru-RU" w:val="uk-UA"/>
    </w:rPr>
  </w:style>
  <w:style w:type="paragraph" w:styleId="Основнойтекст21">
    <w:name w:val="Основной текст 21"/>
    <w:basedOn w:val="Обычный"/>
    <w:next w:val="Основнойтекст21"/>
    <w:autoRedefine w:val="0"/>
    <w:hidden w:val="0"/>
    <w:qFormat w:val="0"/>
    <w:pPr>
      <w:suppressAutoHyphens w:val="0"/>
      <w:spacing w:line="1" w:lineRule="atLeast"/>
      <w:ind w:leftChars="-1" w:rightChars="0" w:firstLineChars="-1"/>
      <w:jc w:val="both"/>
      <w:textDirection w:val="btLr"/>
      <w:textAlignment w:val="top"/>
      <w:outlineLvl w:val="0"/>
    </w:pPr>
    <w:rPr>
      <w:rFonts w:ascii="Times New Roman" w:cs="Times New Roman" w:eastAsia="Times New Roman" w:hAnsi="Times New Roman"/>
      <w:b w:val="1"/>
      <w:w w:val="100"/>
      <w:position w:val="-1"/>
      <w:sz w:val="28"/>
      <w:effect w:val="none"/>
      <w:vertAlign w:val="baseline"/>
      <w:cs w:val="0"/>
      <w:em w:val="none"/>
      <w:lang w:bidi="ar-SA" w:eastAsia="ar-SA" w:val="ru-RU"/>
    </w:rPr>
  </w:style>
  <w:style w:type="character" w:styleId="st">
    <w:name w:val="st"/>
    <w:basedOn w:val="Основнойшрифтабзаца"/>
    <w:next w:val="st"/>
    <w:autoRedefine w:val="0"/>
    <w:hidden w:val="0"/>
    <w:qFormat w:val="0"/>
    <w:rPr>
      <w:w w:val="100"/>
      <w:position w:val="-1"/>
      <w:effect w:val="none"/>
      <w:vertAlign w:val="baseline"/>
      <w:cs w:val="0"/>
      <w:em w:val="none"/>
      <w:lang/>
    </w:rPr>
  </w:style>
  <w:style w:type="character" w:styleId="y0nh2b">
    <w:name w:val="y0nh2b"/>
    <w:basedOn w:val="Основнойшрифтабзаца"/>
    <w:next w:val="y0nh2b"/>
    <w:autoRedefine w:val="0"/>
    <w:hidden w:val="0"/>
    <w:qFormat w:val="0"/>
    <w:rPr>
      <w:w w:val="100"/>
      <w:position w:val="-1"/>
      <w:effect w:val="none"/>
      <w:vertAlign w:val="baseline"/>
      <w:cs w:val="0"/>
      <w:em w:val="none"/>
      <w:lang/>
    </w:rPr>
  </w:style>
  <w:style w:type="character" w:styleId="BodyTextChar">
    <w:name w:val="Body Text Char"/>
    <w:next w:val="BodyTextChar"/>
    <w:autoRedefine w:val="0"/>
    <w:hidden w:val="0"/>
    <w:qFormat w:val="0"/>
    <w:rPr>
      <w:rFonts w:ascii="Times New Roman" w:cs="Times New Roman" w:hAnsi="Times New Roman"/>
      <w:w w:val="100"/>
      <w:position w:val="-1"/>
      <w:effect w:val="none"/>
      <w:vertAlign w:val="baseline"/>
      <w:cs w:val="0"/>
      <w:em w:val="none"/>
      <w:lang w:val="en-US"/>
    </w:rPr>
  </w:style>
  <w:style w:type="paragraph" w:styleId="TextBody">
    <w:name w:val="Text Body"/>
    <w:basedOn w:val="Обычный"/>
    <w:next w:val="TextBody"/>
    <w:autoRedefine w:val="0"/>
    <w:hidden w:val="0"/>
    <w:qFormat w:val="0"/>
    <w:pPr>
      <w:widowControl w:val="0"/>
      <w:suppressAutoHyphens w:val="0"/>
      <w:spacing w:line="1" w:lineRule="atLeast"/>
      <w:ind w:leftChars="-1" w:rightChars="0" w:firstLineChars="-1"/>
      <w:textDirection w:val="btLr"/>
      <w:textAlignment w:val="top"/>
      <w:outlineLvl w:val="0"/>
    </w:pPr>
    <w:rPr>
      <w:rFonts w:ascii="Times New Roman" w:cs="Times New Roman" w:hAnsi="Times New Roman"/>
      <w:w w:val="100"/>
      <w:position w:val="-1"/>
      <w:effect w:val="none"/>
      <w:vertAlign w:val="baseline"/>
      <w:cs w:val="0"/>
      <w:em w:val="none"/>
      <w:lang w:bidi="ar-SA" w:eastAsia="und" w:val="en-US"/>
    </w:rPr>
  </w:style>
  <w:style w:type="character" w:styleId="Гиперссылка">
    <w:name w:val="Гиперссылка"/>
    <w:next w:val="Гиперссылка"/>
    <w:autoRedefine w:val="0"/>
    <w:hidden w:val="0"/>
    <w:qFormat w:val="1"/>
    <w:rPr>
      <w:color w:val="0000ff"/>
      <w:w w:val="100"/>
      <w:position w:val="-1"/>
      <w:u w:val="single"/>
      <w:effect w:val="none"/>
      <w:vertAlign w:val="baseline"/>
      <w:cs w:val="0"/>
      <w:em w:val="none"/>
      <w:lang/>
    </w:r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character" w:styleId="apple-converted-space">
    <w:name w:val="apple-converted-space"/>
    <w:basedOn w:val="Основнойшрифтабзаца"/>
    <w:next w:val="apple-converted-space"/>
    <w:autoRedefine w:val="0"/>
    <w:hidden w:val="0"/>
    <w:qFormat w:val="0"/>
    <w:rPr>
      <w:w w:val="100"/>
      <w:position w:val="-1"/>
      <w:effect w:val="none"/>
      <w:vertAlign w:val="baseline"/>
      <w:cs w:val="0"/>
      <w:em w:val="none"/>
      <w:lang/>
    </w:rPr>
  </w:style>
  <w:style w:type="paragraph" w:styleId="TableParagraph">
    <w:name w:val="Table Paragraph"/>
    <w:basedOn w:val="Обычный"/>
    <w:next w:val="TableParagraph"/>
    <w:autoRedefine w:val="0"/>
    <w:hidden w:val="0"/>
    <w:qFormat w:val="0"/>
    <w:pPr>
      <w:widowControl w:val="0"/>
      <w:suppressAutoHyphens w:val="0"/>
      <w:spacing w:line="275" w:lineRule="atLeast"/>
      <w:ind w:left="100" w:leftChars="-1" w:rightChars="0" w:firstLineChars="-1"/>
      <w:textDirection w:val="btLr"/>
      <w:textAlignment w:val="top"/>
      <w:outlineLvl w:val="0"/>
    </w:pPr>
    <w:rPr>
      <w:rFonts w:ascii="Times New Roman" w:cs="Times New Roman" w:hAnsi="Times New Roman"/>
      <w:w w:val="100"/>
      <w:position w:val="-1"/>
      <w:sz w:val="22"/>
      <w:szCs w:val="22"/>
      <w:effect w:val="none"/>
      <w:vertAlign w:val="baseline"/>
      <w:cs w:val="0"/>
      <w:em w:val="none"/>
      <w:lang w:bidi="ar-SA" w:eastAsia="en-US" w:val="en-US"/>
    </w:rPr>
  </w:style>
  <w:style w:type="paragraph" w:styleId="Цитата">
    <w:name w:val="Цитата"/>
    <w:basedOn w:val="Обычный"/>
    <w:next w:val="Цитата"/>
    <w:autoRedefine w:val="0"/>
    <w:hidden w:val="0"/>
    <w:qFormat w:val="0"/>
    <w:pPr>
      <w:shd w:color="auto" w:fill="ffffff" w:val="clear"/>
      <w:suppressAutoHyphens w:val="1"/>
      <w:spacing w:line="360" w:lineRule="auto"/>
      <w:ind w:left="7" w:right="5" w:leftChars="-1" w:rightChars="0" w:firstLine="713" w:firstLineChars="-1"/>
      <w:jc w:val="both"/>
      <w:textDirection w:val="btLr"/>
      <w:textAlignment w:val="top"/>
      <w:outlineLvl w:val="0"/>
    </w:pPr>
    <w:rPr>
      <w:rFonts w:ascii="Times New Roman" w:cs="Times New Roman" w:eastAsia="Times New Roman" w:hAnsi="Times New Roman"/>
      <w:color w:val="000000"/>
      <w:spacing w:val="-2"/>
      <w:w w:val="100"/>
      <w:position w:val="-1"/>
      <w:sz w:val="28"/>
      <w:szCs w:val="28"/>
      <w:effect w:val="none"/>
      <w:vertAlign w:val="baseline"/>
      <w:cs w:val="0"/>
      <w:em w:val="none"/>
      <w:lang w:bidi="ar-SA" w:eastAsia="ru-RU" w:val="uk-UA"/>
    </w:rPr>
  </w:style>
  <w:style w:type="character" w:styleId="Основнойтекст_">
    <w:name w:val="Основной текст_"/>
    <w:next w:val="Основнойтекст_"/>
    <w:autoRedefine w:val="0"/>
    <w:hidden w:val="0"/>
    <w:qFormat w:val="0"/>
    <w:rPr>
      <w:w w:val="100"/>
      <w:position w:val="-1"/>
      <w:sz w:val="27"/>
      <w:szCs w:val="27"/>
      <w:effect w:val="none"/>
      <w:shd w:color="auto" w:fill="ffffff" w:val="clear"/>
      <w:vertAlign w:val="baseline"/>
      <w:cs w:val="0"/>
      <w:em w:val="none"/>
      <w:lang/>
    </w:rPr>
  </w:style>
  <w:style w:type="character" w:styleId="Основнойтекст1">
    <w:name w:val="Основной текст1"/>
    <w:next w:val="Основнойтекст1"/>
    <w:autoRedefine w:val="0"/>
    <w:hidden w:val="0"/>
    <w:qFormat w:val="0"/>
    <w:rPr>
      <w:color w:val="000000"/>
      <w:spacing w:val="0"/>
      <w:w w:val="100"/>
      <w:position w:val="0"/>
      <w:sz w:val="27"/>
      <w:szCs w:val="27"/>
      <w:u w:val="single"/>
      <w:effect w:val="none"/>
      <w:shd w:color="auto" w:fill="ffffff" w:val="clear"/>
      <w:vertAlign w:val="baseline"/>
      <w:cs w:val="0"/>
      <w:em w:val="none"/>
      <w:lang w:val="uk-UA"/>
    </w:rPr>
  </w:style>
  <w:style w:type="character" w:styleId="Заголовок№1_">
    <w:name w:val="Заголовок №1_"/>
    <w:next w:val="Заголовок№1_"/>
    <w:autoRedefine w:val="0"/>
    <w:hidden w:val="0"/>
    <w:qFormat w:val="0"/>
    <w:rPr>
      <w:w w:val="100"/>
      <w:position w:val="-1"/>
      <w:sz w:val="27"/>
      <w:szCs w:val="27"/>
      <w:effect w:val="none"/>
      <w:shd w:color="auto" w:fill="ffffff" w:val="clear"/>
      <w:vertAlign w:val="baseline"/>
      <w:cs w:val="0"/>
      <w:em w:val="none"/>
      <w:lang/>
    </w:rPr>
  </w:style>
  <w:style w:type="character" w:styleId="Основнойтекст(3)_">
    <w:name w:val="Основной текст (3)_"/>
    <w:next w:val="Основнойтекст(3)_"/>
    <w:autoRedefine w:val="0"/>
    <w:hidden w:val="0"/>
    <w:qFormat w:val="0"/>
    <w:rPr>
      <w:i w:val="1"/>
      <w:iCs w:val="1"/>
      <w:w w:val="100"/>
      <w:position w:val="-1"/>
      <w:sz w:val="27"/>
      <w:szCs w:val="27"/>
      <w:effect w:val="none"/>
      <w:shd w:color="auto" w:fill="ffffff" w:val="clear"/>
      <w:vertAlign w:val="baseline"/>
      <w:cs w:val="0"/>
      <w:em w:val="none"/>
      <w:lang/>
    </w:rPr>
  </w:style>
  <w:style w:type="character" w:styleId="Основнойтекст(3)+Некурсив">
    <w:name w:val="Основной текст (3) + Не курсив"/>
    <w:next w:val="Основнойтекст(3)+Некурсив"/>
    <w:autoRedefine w:val="0"/>
    <w:hidden w:val="0"/>
    <w:qFormat w:val="0"/>
    <w:rPr>
      <w:i w:val="1"/>
      <w:iCs w:val="1"/>
      <w:color w:val="000000"/>
      <w:spacing w:val="0"/>
      <w:w w:val="100"/>
      <w:position w:val="0"/>
      <w:sz w:val="27"/>
      <w:szCs w:val="27"/>
      <w:effect w:val="none"/>
      <w:shd w:color="auto" w:fill="ffffff" w:val="clear"/>
      <w:vertAlign w:val="baseline"/>
      <w:cs w:val="0"/>
      <w:em w:val="none"/>
      <w:lang w:val="uk-UA"/>
    </w:rPr>
  </w:style>
  <w:style w:type="character" w:styleId="Основнойтекст(3)+13pt;Полужирный">
    <w:name w:val="Основной текст (3) + 13 pt;Полужирный"/>
    <w:next w:val="Основнойтекст(3)+13pt;Полужирный"/>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Основнойтекст+13pt;Полужирный;Курсив">
    <w:name w:val="Основной текст + 13 pt;Полужирный;Курсив"/>
    <w:next w:val="Основнойтекст+13pt;Полужирный;Курсив"/>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Заголовок№1+13pt;Полужирный;Курсив">
    <w:name w:val="Заголовок №1 + 13 pt;Полужирный;Курсив"/>
    <w:next w:val="Заголовок№1+13pt;Полужирный;Курсив"/>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Основнойтекст6">
    <w:name w:val="Основной текст6"/>
    <w:next w:val="Основнойтекст6"/>
    <w:autoRedefine w:val="0"/>
    <w:hidden w:val="0"/>
    <w:qFormat w:val="0"/>
    <w:rPr>
      <w:color w:val="000000"/>
      <w:spacing w:val="0"/>
      <w:w w:val="100"/>
      <w:position w:val="0"/>
      <w:sz w:val="27"/>
      <w:szCs w:val="27"/>
      <w:effect w:val="none"/>
      <w:shd w:color="auto" w:fill="ffffff" w:val="clear"/>
      <w:vertAlign w:val="baseline"/>
      <w:cs w:val="0"/>
      <w:em w:val="none"/>
      <w:lang w:val="uk-UA"/>
    </w:rPr>
  </w:style>
  <w:style w:type="paragraph" w:styleId="Основнойтекст7">
    <w:name w:val="Основной текст7"/>
    <w:basedOn w:val="Обычный"/>
    <w:next w:val="Основнойтекст7"/>
    <w:autoRedefine w:val="0"/>
    <w:hidden w:val="0"/>
    <w:qFormat w:val="0"/>
    <w:pPr>
      <w:widowControl w:val="0"/>
      <w:shd w:color="auto" w:fill="ffffff" w:val="clear"/>
      <w:suppressAutoHyphens w:val="1"/>
      <w:spacing w:after="3300" w:line="480" w:lineRule="atLeast"/>
      <w:ind w:leftChars="-1" w:rightChars="0" w:firstLineChars="-1"/>
      <w:jc w:val="center"/>
      <w:textDirection w:val="btLr"/>
      <w:textAlignment w:val="top"/>
      <w:outlineLvl w:val="0"/>
    </w:pPr>
    <w:rPr>
      <w:w w:val="100"/>
      <w:position w:val="-1"/>
      <w:sz w:val="27"/>
      <w:szCs w:val="27"/>
      <w:effect w:val="none"/>
      <w:vertAlign w:val="baseline"/>
      <w:cs w:val="0"/>
      <w:em w:val="none"/>
      <w:lang w:bidi="ar-SA" w:eastAsia="und" w:val="und"/>
    </w:rPr>
  </w:style>
  <w:style w:type="paragraph" w:styleId="Заголовок№1">
    <w:name w:val="Заголовок №1"/>
    <w:basedOn w:val="Обычный"/>
    <w:next w:val="Заголовок№1"/>
    <w:autoRedefine w:val="0"/>
    <w:hidden w:val="0"/>
    <w:qFormat w:val="0"/>
    <w:pPr>
      <w:widowControl w:val="0"/>
      <w:shd w:color="auto" w:fill="ffffff" w:val="clear"/>
      <w:suppressAutoHyphens w:val="1"/>
      <w:spacing w:after="300" w:line="374" w:lineRule="atLeast"/>
      <w:ind w:leftChars="-1" w:rightChars="0" w:firstLine="700" w:firstLineChars="-1"/>
      <w:jc w:val="both"/>
      <w:textDirection w:val="btLr"/>
      <w:textAlignment w:val="top"/>
      <w:outlineLvl w:val="0"/>
    </w:pPr>
    <w:rPr>
      <w:w w:val="100"/>
      <w:position w:val="-1"/>
      <w:sz w:val="27"/>
      <w:szCs w:val="27"/>
      <w:effect w:val="none"/>
      <w:vertAlign w:val="baseline"/>
      <w:cs w:val="0"/>
      <w:em w:val="none"/>
      <w:lang w:bidi="ar-SA" w:eastAsia="und" w:val="und"/>
    </w:rPr>
  </w:style>
  <w:style w:type="paragraph" w:styleId="Основнойтекст(3)">
    <w:name w:val="Основной текст (3)"/>
    <w:basedOn w:val="Обычный"/>
    <w:next w:val="Основнойтекст(3)"/>
    <w:autoRedefine w:val="0"/>
    <w:hidden w:val="0"/>
    <w:qFormat w:val="0"/>
    <w:pPr>
      <w:widowControl w:val="0"/>
      <w:shd w:color="auto" w:fill="ffffff" w:val="clear"/>
      <w:suppressAutoHyphens w:val="1"/>
      <w:spacing w:line="370" w:lineRule="atLeast"/>
      <w:ind w:leftChars="-1" w:rightChars="0" w:firstLineChars="-1"/>
      <w:jc w:val="both"/>
      <w:textDirection w:val="btLr"/>
      <w:textAlignment w:val="top"/>
      <w:outlineLvl w:val="0"/>
    </w:pPr>
    <w:rPr>
      <w:i w:val="1"/>
      <w:iCs w:val="1"/>
      <w:w w:val="100"/>
      <w:position w:val="-1"/>
      <w:sz w:val="27"/>
      <w:szCs w:val="27"/>
      <w:effect w:val="none"/>
      <w:vertAlign w:val="baseline"/>
      <w:cs w:val="0"/>
      <w:em w:val="none"/>
      <w:lang w:bidi="ar-SA" w:eastAsia="und" w:val="und"/>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ru-RU" w:val="ru-RU"/>
    </w:rPr>
  </w:style>
  <w:style w:type="character" w:styleId="Заголовок№1(2)_">
    <w:name w:val="Заголовок №1 (2)_"/>
    <w:next w:val="Заголовок№1(2)_"/>
    <w:autoRedefine w:val="0"/>
    <w:hidden w:val="0"/>
    <w:qFormat w:val="0"/>
    <w:rPr>
      <w:i w:val="1"/>
      <w:iCs w:val="1"/>
      <w:w w:val="100"/>
      <w:position w:val="-1"/>
      <w:sz w:val="27"/>
      <w:szCs w:val="27"/>
      <w:effect w:val="none"/>
      <w:shd w:color="auto" w:fill="ffffff" w:val="clear"/>
      <w:vertAlign w:val="baseline"/>
      <w:cs w:val="0"/>
      <w:em w:val="none"/>
      <w:lang/>
    </w:rPr>
  </w:style>
  <w:style w:type="character" w:styleId="Заголовок№1(2)+13pt;Полужирный">
    <w:name w:val="Заголовок №1 (2) + 13 pt;Полужирный"/>
    <w:next w:val="Заголовок№1(2)+13pt;Полужирный"/>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paragraph" w:styleId="Заголовок№1(2)">
    <w:name w:val="Заголовок №1 (2)"/>
    <w:basedOn w:val="Обычный"/>
    <w:next w:val="Заголовок№1(2)"/>
    <w:autoRedefine w:val="0"/>
    <w:hidden w:val="0"/>
    <w:qFormat w:val="0"/>
    <w:pPr>
      <w:widowControl w:val="0"/>
      <w:shd w:color="auto" w:fill="ffffff" w:val="clear"/>
      <w:suppressAutoHyphens w:val="1"/>
      <w:spacing w:after="360" w:before="600" w:line="0" w:lineRule="atLeast"/>
      <w:ind w:leftChars="-1" w:rightChars="0" w:hanging="320" w:firstLineChars="-1"/>
      <w:textDirection w:val="btLr"/>
      <w:textAlignment w:val="top"/>
      <w:outlineLvl w:val="0"/>
    </w:pPr>
    <w:rPr>
      <w:i w:val="1"/>
      <w:iCs w:val="1"/>
      <w:w w:val="100"/>
      <w:position w:val="-1"/>
      <w:sz w:val="27"/>
      <w:szCs w:val="27"/>
      <w:effect w:val="none"/>
      <w:vertAlign w:val="baseline"/>
      <w:cs w:val="0"/>
      <w:em w:val="none"/>
      <w:lang w:bidi="ar-SA" w:eastAsia="und" w:val="und"/>
    </w:rPr>
  </w:style>
  <w:style w:type="paragraph" w:styleId="Абзацсписка">
    <w:name w:val="Абзац списка"/>
    <w:basedOn w:val="Обычный"/>
    <w:next w:val="Абзацсписка"/>
    <w:autoRedefine w:val="0"/>
    <w:hidden w:val="0"/>
    <w:qFormat w:val="0"/>
    <w:pPr>
      <w:widowControl w:val="0"/>
      <w:suppressAutoHyphens w:val="1"/>
      <w:autoSpaceDE w:val="0"/>
      <w:autoSpaceDN w:val="0"/>
      <w:spacing w:line="439" w:lineRule="auto"/>
      <w:ind w:left="720" w:leftChars="-1" w:rightChars="0" w:hanging="340" w:firstLineChars="-1"/>
      <w:contextualSpacing w:val="1"/>
      <w:textDirection w:val="btLr"/>
      <w:textAlignment w:val="top"/>
      <w:outlineLvl w:val="0"/>
    </w:pPr>
    <w:rPr>
      <w:rFonts w:ascii="Times New Roman" w:cs="Times New Roman" w:eastAsia="Times New Roman" w:hAnsi="Times New Roman"/>
      <w:w w:val="100"/>
      <w:position w:val="-1"/>
      <w:effect w:val="none"/>
      <w:vertAlign w:val="baseline"/>
      <w:cs w:val="0"/>
      <w:em w:val="none"/>
      <w:lang w:bidi="ar-SA" w:eastAsia="ru-RU" w:val="ru-RU"/>
    </w:rPr>
  </w:style>
  <w:style w:type="table" w:styleId="Сеткатаблицы">
    <w:name w:val="Сетка таблицы"/>
    <w:basedOn w:val="Обычнаятаблица"/>
    <w:next w:val="Сеткатаблицы"/>
    <w:autoRedefine w:val="0"/>
    <w:hidden w:val="0"/>
    <w:qFormat w:val="0"/>
    <w:pPr>
      <w:suppressAutoHyphens w:val="1"/>
      <w:spacing w:after="0" w:line="240" w:lineRule="auto"/>
      <w:ind w:leftChars="-1" w:rightChars="0" w:firstLineChars="-1"/>
      <w:textDirection w:val="btLr"/>
      <w:textAlignment w:val="top"/>
      <w:outlineLvl w:val="0"/>
    </w:pPr>
    <w:rPr>
      <w:rFonts w:ascii="Calibri" w:cs="Arial" w:eastAsia="Calibri" w:hAnsi="Calibri"/>
      <w:w w:val="100"/>
      <w:position w:val="-1"/>
      <w:sz w:val="20"/>
      <w:szCs w:val="20"/>
      <w:effect w:val="none"/>
      <w:vertAlign w:val="baseline"/>
      <w:cs w:val="0"/>
      <w:em w:val="none"/>
      <w:lang w:eastAsia="ru-RU"/>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Основнойтекст">
    <w:name w:val="Основной текст"/>
    <w:basedOn w:val="Обычный"/>
    <w:next w:val="Основнойтекст"/>
    <w:autoRedefine w:val="0"/>
    <w:hidden w:val="0"/>
    <w:qFormat w:val="1"/>
    <w:pPr>
      <w:suppressAutoHyphens w:val="1"/>
      <w:spacing w:after="120" w:line="1" w:lineRule="atLeast"/>
      <w:ind w:leftChars="-1" w:rightChars="0" w:firstLineChars="-1"/>
      <w:textDirection w:val="btLr"/>
      <w:textAlignment w:val="top"/>
      <w:outlineLvl w:val="0"/>
    </w:pPr>
    <w:rPr>
      <w:w w:val="100"/>
      <w:position w:val="-1"/>
      <w:effect w:val="none"/>
      <w:vertAlign w:val="baseline"/>
      <w:cs w:val="0"/>
      <w:em w:val="none"/>
      <w:lang w:bidi="ar-SA" w:eastAsia="und" w:val="und"/>
    </w:rPr>
  </w:style>
  <w:style w:type="character" w:styleId="ОсновнойтекстЗнак">
    <w:name w:val="Основной текст Знак"/>
    <w:next w:val="ОсновнойтекстЗнак"/>
    <w:autoRedefine w:val="0"/>
    <w:hidden w:val="0"/>
    <w:qFormat w:val="0"/>
    <w:rPr>
      <w:w w:val="100"/>
      <w:position w:val="-1"/>
      <w:effect w:val="none"/>
      <w:vertAlign w:val="baseline"/>
      <w:cs w:val="0"/>
      <w:em w:val="none"/>
      <w:lang/>
    </w:rPr>
  </w:style>
  <w:style w:type="paragraph" w:styleId="Краснаястрока">
    <w:name w:val="Красная строка"/>
    <w:basedOn w:val="Основнойтекст"/>
    <w:next w:val="Краснаястрока"/>
    <w:autoRedefine w:val="0"/>
    <w:hidden w:val="0"/>
    <w:qFormat w:val="1"/>
    <w:pPr>
      <w:suppressAutoHyphens w:val="1"/>
      <w:spacing w:after="120" w:line="1" w:lineRule="atLeast"/>
      <w:ind w:leftChars="-1" w:rightChars="0" w:firstLine="210" w:firstLineChars="-1"/>
      <w:textDirection w:val="btLr"/>
      <w:textAlignment w:val="top"/>
      <w:outlineLvl w:val="0"/>
    </w:pPr>
    <w:rPr>
      <w:w w:val="100"/>
      <w:position w:val="-1"/>
      <w:effect w:val="none"/>
      <w:vertAlign w:val="baseline"/>
      <w:cs w:val="0"/>
      <w:em w:val="none"/>
      <w:lang w:bidi="ar-SA" w:eastAsia="und" w:val="und"/>
    </w:rPr>
  </w:style>
  <w:style w:type="character" w:styleId="КраснаястрокаЗнак">
    <w:name w:val="Красная строка Знак"/>
    <w:basedOn w:val="ОсновнойтекстЗнак"/>
    <w:next w:val="КраснаястрокаЗнак"/>
    <w:autoRedefine w:val="0"/>
    <w:hidden w:val="0"/>
    <w:qFormat w:val="0"/>
    <w:rPr>
      <w:w w:val="100"/>
      <w:position w:val="-1"/>
      <w:effect w:val="none"/>
      <w:vertAlign w:val="baseline"/>
      <w:cs w:val="0"/>
      <w:em w:val="none"/>
      <w:lang/>
    </w:rPr>
  </w:style>
  <w:style w:type="paragraph" w:styleId="Маркированныйсписок2">
    <w:name w:val="Маркированный список 2"/>
    <w:basedOn w:val="Обычный"/>
    <w:next w:val="Маркированныйсписок2"/>
    <w:autoRedefine w:val="0"/>
    <w:hidden w:val="0"/>
    <w:qFormat w:val="1"/>
    <w:pPr>
      <w:numPr>
        <w:ilvl w:val="0"/>
        <w:numId w:val="1"/>
      </w:numPr>
      <w:suppressAutoHyphens w:val="1"/>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paragraph" w:styleId="Основнойтекстсотступом">
    <w:name w:val="Основной текст с отступом"/>
    <w:basedOn w:val="Обычный"/>
    <w:next w:val="Основнойтекстсотступом"/>
    <w:autoRedefine w:val="0"/>
    <w:hidden w:val="0"/>
    <w:qFormat w:val="1"/>
    <w:pPr>
      <w:suppressAutoHyphens w:val="1"/>
      <w:spacing w:after="120" w:line="1" w:lineRule="atLeast"/>
      <w:ind w:left="283" w:leftChars="-1" w:rightChars="0" w:firstLineChars="-1"/>
      <w:textDirection w:val="btLr"/>
      <w:textAlignment w:val="top"/>
      <w:outlineLvl w:val="0"/>
    </w:pPr>
    <w:rPr>
      <w:w w:val="100"/>
      <w:position w:val="-1"/>
      <w:effect w:val="none"/>
      <w:vertAlign w:val="baseline"/>
      <w:cs w:val="0"/>
      <w:em w:val="none"/>
      <w:lang w:bidi="ar-SA" w:eastAsia="und" w:val="und"/>
    </w:rPr>
  </w:style>
  <w:style w:type="character" w:styleId="ОсновнойтекстсотступомЗнак">
    <w:name w:val="Основной текст с отступом Знак"/>
    <w:next w:val="ОсновнойтекстсотступомЗнак"/>
    <w:autoRedefine w:val="0"/>
    <w:hidden w:val="0"/>
    <w:qFormat w:val="0"/>
    <w:rPr>
      <w:w w:val="100"/>
      <w:position w:val="-1"/>
      <w:effect w:val="none"/>
      <w:vertAlign w:val="baseline"/>
      <w:cs w:val="0"/>
      <w:em w:val="none"/>
      <w:lang/>
    </w:rPr>
  </w:style>
  <w:style w:type="paragraph" w:styleId="Краснаястрока2">
    <w:name w:val="Красная строка 2"/>
    <w:basedOn w:val="Основнойтекстсотступом"/>
    <w:next w:val="Краснаястрока2"/>
    <w:autoRedefine w:val="0"/>
    <w:hidden w:val="0"/>
    <w:qFormat w:val="1"/>
    <w:pPr>
      <w:suppressAutoHyphens w:val="1"/>
      <w:spacing w:after="120" w:line="1" w:lineRule="atLeast"/>
      <w:ind w:left="283" w:leftChars="-1" w:rightChars="0" w:firstLine="210" w:firstLineChars="-1"/>
      <w:textDirection w:val="btLr"/>
      <w:textAlignment w:val="top"/>
      <w:outlineLvl w:val="0"/>
    </w:pPr>
    <w:rPr>
      <w:w w:val="100"/>
      <w:position w:val="-1"/>
      <w:effect w:val="none"/>
      <w:vertAlign w:val="baseline"/>
      <w:cs w:val="0"/>
      <w:em w:val="none"/>
      <w:lang w:bidi="ar-SA" w:eastAsia="und" w:val="und"/>
    </w:rPr>
  </w:style>
  <w:style w:type="character" w:styleId="Краснаястрока2Знак">
    <w:name w:val="Красная строка 2 Знак"/>
    <w:basedOn w:val="ОсновнойтекстсотступомЗнак"/>
    <w:next w:val="Краснаястрока2Знак"/>
    <w:autoRedefine w:val="0"/>
    <w:hidden w:val="0"/>
    <w:qFormat w:val="0"/>
    <w:rPr>
      <w:w w:val="100"/>
      <w:position w:val="-1"/>
      <w:effect w:val="none"/>
      <w:vertAlign w:val="baseline"/>
      <w:cs w:val="0"/>
      <w:em w:val="none"/>
      <w:lang/>
    </w:rPr>
  </w:style>
  <w:style w:type="paragraph" w:styleId="Список2">
    <w:name w:val="Список 2"/>
    <w:basedOn w:val="Обычный"/>
    <w:next w:val="Список2"/>
    <w:autoRedefine w:val="0"/>
    <w:hidden w:val="0"/>
    <w:qFormat w:val="1"/>
    <w:pPr>
      <w:widowControl w:val="0"/>
      <w:suppressAutoHyphens w:val="0"/>
      <w:spacing w:line="1" w:lineRule="atLeast"/>
      <w:ind w:left="566" w:leftChars="-1" w:rightChars="0" w:hanging="283" w:firstLineChars="-1"/>
      <w:contextualSpacing w:val="1"/>
      <w:textDirection w:val="btLr"/>
      <w:textAlignment w:val="top"/>
      <w:outlineLvl w:val="0"/>
    </w:pPr>
    <w:rPr>
      <w:rFonts w:ascii="Times New Roman" w:cs="Times New Roman" w:hAnsi="Times New Roman"/>
      <w:w w:val="100"/>
      <w:position w:val="-1"/>
      <w:sz w:val="22"/>
      <w:szCs w:val="22"/>
      <w:effect w:val="none"/>
      <w:vertAlign w:val="baseline"/>
      <w:cs w:val="0"/>
      <w:em w:val="none"/>
      <w:lang w:bidi="ar-SA" w:eastAsia="en-US" w:val="en-US"/>
    </w:rPr>
  </w:style>
  <w:style w:type="character" w:styleId="Оглавление_">
    <w:name w:val="Оглавление_"/>
    <w:next w:val="Оглавление_"/>
    <w:autoRedefine w:val="0"/>
    <w:hidden w:val="0"/>
    <w:qFormat w:val="0"/>
    <w:rPr>
      <w:rFonts w:ascii="Times New Roman" w:eastAsia="Times New Roman" w:hAnsi="Times New Roman"/>
      <w:w w:val="100"/>
      <w:position w:val="-1"/>
      <w:sz w:val="22"/>
      <w:szCs w:val="22"/>
      <w:effect w:val="none"/>
      <w:shd w:color="auto" w:fill="ffffff" w:val="clear"/>
      <w:vertAlign w:val="baseline"/>
      <w:cs w:val="0"/>
      <w:em w:val="none"/>
      <w:lang/>
    </w:rPr>
  </w:style>
  <w:style w:type="paragraph" w:styleId="Оглавление">
    <w:name w:val="Оглавление"/>
    <w:basedOn w:val="Обычный"/>
    <w:next w:val="Оглавление"/>
    <w:autoRedefine w:val="0"/>
    <w:hidden w:val="0"/>
    <w:qFormat w:val="0"/>
    <w:pPr>
      <w:widowControl w:val="0"/>
      <w:shd w:color="auto" w:fill="ffffff" w:val="clear"/>
      <w:suppressAutoHyphens w:val="1"/>
      <w:spacing w:line="1" w:lineRule="atLeast"/>
      <w:ind w:leftChars="-1" w:rightChars="0" w:firstLine="280" w:firstLineChars="-1"/>
      <w:textDirection w:val="btLr"/>
      <w:textAlignment w:val="top"/>
      <w:outlineLvl w:val="0"/>
    </w:pPr>
    <w:rPr>
      <w:rFonts w:ascii="Times New Roman" w:cs="Times New Roman" w:eastAsia="Times New Roman" w:hAnsi="Times New Roman"/>
      <w:w w:val="100"/>
      <w:position w:val="-1"/>
      <w:sz w:val="22"/>
      <w:szCs w:val="22"/>
      <w:effect w:val="none"/>
      <w:vertAlign w:val="baseline"/>
      <w:cs w:val="0"/>
      <w:em w:val="none"/>
      <w:lang w:bidi="ar-SA" w:eastAsia="und" w:val="und"/>
    </w:rPr>
  </w:style>
  <w:style w:type="paragraph" w:styleId="Основнойтекстсотступом3">
    <w:name w:val="Основной текст с отступом 3"/>
    <w:basedOn w:val="Обычный"/>
    <w:next w:val="Основнойтекстсотступом3"/>
    <w:autoRedefine w:val="0"/>
    <w:hidden w:val="0"/>
    <w:qFormat w:val="1"/>
    <w:pPr>
      <w:suppressAutoHyphens w:val="1"/>
      <w:spacing w:after="120" w:line="1" w:lineRule="atLeast"/>
      <w:ind w:left="283" w:leftChars="-1" w:rightChars="0" w:firstLineChars="-1"/>
      <w:textDirection w:val="btLr"/>
      <w:textAlignment w:val="top"/>
      <w:outlineLvl w:val="0"/>
    </w:pPr>
    <w:rPr>
      <w:rFonts w:ascii="Times New Roman" w:cs="Times New Roman" w:eastAsia="Times New Roman" w:hAnsi="Times New Roman"/>
      <w:w w:val="100"/>
      <w:position w:val="-1"/>
      <w:sz w:val="16"/>
      <w:szCs w:val="16"/>
      <w:effect w:val="none"/>
      <w:vertAlign w:val="baseline"/>
      <w:cs w:val="0"/>
      <w:em w:val="none"/>
      <w:lang w:bidi="ar-SA" w:eastAsia="ru-RU" w:val="uk-UA"/>
    </w:rPr>
  </w:style>
  <w:style w:type="character" w:styleId="Основнойтекстсотступом3Знак">
    <w:name w:val="Основной текст с отступом 3 Знак"/>
    <w:basedOn w:val="Основнойшрифтабзаца"/>
    <w:next w:val="Основнойтекстсотступом3Знак"/>
    <w:autoRedefine w:val="0"/>
    <w:hidden w:val="0"/>
    <w:qFormat w:val="0"/>
    <w:rPr>
      <w:rFonts w:ascii="Times New Roman" w:eastAsia="Times New Roman" w:hAnsi="Times New Roman"/>
      <w:w w:val="100"/>
      <w:position w:val="-1"/>
      <w:sz w:val="16"/>
      <w:szCs w:val="16"/>
      <w:effect w:val="none"/>
      <w:vertAlign w:val="baseline"/>
      <w:cs w:val="0"/>
      <w:em w:val="none"/>
      <w:lang w:val="uk-UA"/>
    </w:rPr>
  </w:style>
  <w:style w:type="paragraph" w:styleId="Основнойтекст2">
    <w:name w:val="Основной текст2"/>
    <w:basedOn w:val="Обычный"/>
    <w:next w:val="Основнойтекст2"/>
    <w:autoRedefine w:val="0"/>
    <w:hidden w:val="0"/>
    <w:qFormat w:val="0"/>
    <w:pPr>
      <w:widowControl w:val="0"/>
      <w:shd w:color="auto" w:fill="ffffff" w:val="clear"/>
      <w:suppressAutoHyphens w:val="1"/>
      <w:spacing w:before="2700" w:line="317" w:lineRule="atLeast"/>
      <w:ind w:leftChars="-1" w:rightChars="0" w:hanging="1120" w:firstLineChars="-1"/>
      <w:jc w:val="both"/>
      <w:textDirection w:val="btLr"/>
      <w:textAlignment w:val="top"/>
      <w:outlineLvl w:val="0"/>
    </w:pPr>
    <w:rPr>
      <w:rFonts w:ascii="Times New Roman" w:cs="Times New Roman" w:eastAsia="Times New Roman" w:hAnsi="Times New Roman"/>
      <w:w w:val="100"/>
      <w:position w:val="-1"/>
      <w:sz w:val="28"/>
      <w:szCs w:val="28"/>
      <w:effect w:val="none"/>
      <w:vertAlign w:val="baseline"/>
      <w:cs w:val="0"/>
      <w:em w:val="none"/>
      <w:lang w:bidi="ar-SA" w:eastAsia="ru-RU" w:val="ru-RU"/>
    </w:rPr>
  </w:style>
  <w:style w:type="character" w:styleId="Основнойтекст(4)_">
    <w:name w:val="Основной текст (4)_"/>
    <w:basedOn w:val="Основнойшрифтабзаца"/>
    <w:next w:val="Основнойтекст(4)_"/>
    <w:autoRedefine w:val="0"/>
    <w:hidden w:val="0"/>
    <w:qFormat w:val="0"/>
    <w:rPr>
      <w:rFonts w:ascii="Times New Roman" w:eastAsia="Times New Roman" w:hAnsi="Times New Roman"/>
      <w:b w:val="1"/>
      <w:bCs w:val="1"/>
      <w:w w:val="100"/>
      <w:position w:val="-1"/>
      <w:sz w:val="27"/>
      <w:szCs w:val="27"/>
      <w:effect w:val="none"/>
      <w:shd w:color="auto" w:fill="ffffff" w:val="clear"/>
      <w:vertAlign w:val="baseline"/>
      <w:cs w:val="0"/>
      <w:em w:val="none"/>
      <w:lang/>
    </w:rPr>
  </w:style>
  <w:style w:type="paragraph" w:styleId="Основнойтекст(4)">
    <w:name w:val="Основной текст (4)"/>
    <w:basedOn w:val="Обычный"/>
    <w:next w:val="Основнойтекст(4)"/>
    <w:autoRedefine w:val="0"/>
    <w:hidden w:val="0"/>
    <w:qFormat w:val="0"/>
    <w:pPr>
      <w:widowControl w:val="0"/>
      <w:shd w:color="auto" w:fill="ffffff" w:val="clear"/>
      <w:suppressAutoHyphens w:val="1"/>
      <w:spacing w:after="360" w:line="0" w:lineRule="atLeast"/>
      <w:ind w:leftChars="-1" w:rightChars="0" w:hanging="360" w:firstLineChars="-1"/>
      <w:textDirection w:val="btLr"/>
      <w:textAlignment w:val="top"/>
      <w:outlineLvl w:val="0"/>
    </w:pPr>
    <w:rPr>
      <w:rFonts w:ascii="Times New Roman" w:cs="Times New Roman" w:eastAsia="Times New Roman" w:hAnsi="Times New Roman"/>
      <w:b w:val="1"/>
      <w:bCs w:val="1"/>
      <w:w w:val="100"/>
      <w:position w:val="-1"/>
      <w:sz w:val="27"/>
      <w:szCs w:val="27"/>
      <w:effect w:val="none"/>
      <w:vertAlign w:val="baseline"/>
      <w:cs w:val="0"/>
      <w:em w:val="none"/>
      <w:lang w:bidi="ar-SA" w:eastAsia="ru-RU" w:val="ru-RU"/>
    </w:rPr>
  </w:style>
  <w:style w:type="character" w:styleId="Заголовок№4_">
    <w:name w:val="Заголовок №4_"/>
    <w:basedOn w:val="Основнойшрифтабзаца"/>
    <w:next w:val="Заголовок№4_"/>
    <w:autoRedefine w:val="0"/>
    <w:hidden w:val="0"/>
    <w:qFormat w:val="0"/>
    <w:rPr>
      <w:rFonts w:ascii="Times New Roman" w:eastAsia="Times New Roman" w:hAnsi="Times New Roman"/>
      <w:b w:val="1"/>
      <w:bCs w:val="1"/>
      <w:w w:val="100"/>
      <w:position w:val="-1"/>
      <w:sz w:val="27"/>
      <w:szCs w:val="27"/>
      <w:effect w:val="none"/>
      <w:shd w:color="auto" w:fill="ffffff" w:val="clear"/>
      <w:vertAlign w:val="baseline"/>
      <w:cs w:val="0"/>
      <w:em w:val="none"/>
      <w:lang/>
    </w:rPr>
  </w:style>
  <w:style w:type="paragraph" w:styleId="Заголовок№4">
    <w:name w:val="Заголовок №4"/>
    <w:basedOn w:val="Обычный"/>
    <w:next w:val="Заголовок№4"/>
    <w:autoRedefine w:val="0"/>
    <w:hidden w:val="0"/>
    <w:qFormat w:val="0"/>
    <w:pPr>
      <w:widowControl w:val="0"/>
      <w:shd w:color="auto" w:fill="ffffff" w:val="clear"/>
      <w:suppressAutoHyphens w:val="1"/>
      <w:spacing w:after="420" w:before="300" w:line="0" w:lineRule="atLeast"/>
      <w:ind w:leftChars="-1" w:rightChars="0" w:firstLineChars="-1"/>
      <w:textDirection w:val="btLr"/>
      <w:textAlignment w:val="top"/>
      <w:outlineLvl w:val="3"/>
    </w:pPr>
    <w:rPr>
      <w:rFonts w:ascii="Times New Roman" w:cs="Times New Roman" w:eastAsia="Times New Roman" w:hAnsi="Times New Roman"/>
      <w:b w:val="1"/>
      <w:bCs w:val="1"/>
      <w:w w:val="100"/>
      <w:position w:val="-1"/>
      <w:sz w:val="27"/>
      <w:szCs w:val="27"/>
      <w:effect w:val="none"/>
      <w:vertAlign w:val="baseline"/>
      <w:cs w:val="0"/>
      <w:em w:val="none"/>
      <w:lang w:bidi="ar-SA" w:eastAsia="ru-RU" w:val="ru-RU"/>
    </w:rPr>
  </w:style>
  <w:style w:type="paragraph" w:styleId="Оглавление1">
    <w:name w:val="Оглавление 1"/>
    <w:basedOn w:val="Обычный"/>
    <w:next w:val="Оглавление1"/>
    <w:autoRedefine w:val="0"/>
    <w:hidden w:val="0"/>
    <w:qFormat w:val="0"/>
    <w:pPr>
      <w:widowControl w:val="0"/>
      <w:suppressAutoHyphens w:val="1"/>
      <w:autoSpaceDE w:val="0"/>
      <w:autoSpaceDN w:val="0"/>
      <w:spacing w:before="136" w:line="1" w:lineRule="atLeast"/>
      <w:ind w:left="832" w:leftChars="-1" w:rightChars="0" w:firstLineChars="-1"/>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ListParagraph">
    <w:name w:val="List Paragraph"/>
    <w:basedOn w:val="Обычный"/>
    <w:next w:val="ListParagraph"/>
    <w:autoRedefine w:val="0"/>
    <w:hidden w:val="0"/>
    <w:qFormat w:val="0"/>
    <w:pPr>
      <w:widowControl w:val="0"/>
      <w:suppressAutoHyphens w:val="1"/>
      <w:autoSpaceDE w:val="0"/>
      <w:autoSpaceDN w:val="0"/>
      <w:spacing w:line="1" w:lineRule="atLeast"/>
      <w:ind w:left="1552" w:leftChars="-1" w:rightChars="0" w:hanging="360" w:firstLineChars="-1"/>
      <w:textDirection w:val="btLr"/>
      <w:textAlignment w:val="top"/>
      <w:outlineLvl w:val="0"/>
    </w:pPr>
    <w:rPr>
      <w:rFonts w:ascii="Arial" w:cs="Arial" w:eastAsia="Times New Roman" w:hAnsi="Arial"/>
      <w:w w:val="100"/>
      <w:position w:val="-1"/>
      <w:sz w:val="22"/>
      <w:szCs w:val="22"/>
      <w:effect w:val="none"/>
      <w:vertAlign w:val="baseline"/>
      <w:cs w:val="0"/>
      <w:em w:val="none"/>
      <w:lang w:bidi="ar-SA" w:eastAsia="en-US" w:val="en-US"/>
    </w:rPr>
  </w:style>
  <w:style w:type="character" w:styleId="Основнойтекст(2)_">
    <w:name w:val="Основной текст (2)_"/>
    <w:basedOn w:val="Основнойшрифтабзаца"/>
    <w:next w:val="Основнойтекст(2)_"/>
    <w:autoRedefine w:val="0"/>
    <w:hidden w:val="0"/>
    <w:qFormat w:val="0"/>
    <w:rPr>
      <w:b w:val="1"/>
      <w:bCs w:val="1"/>
      <w:w w:val="100"/>
      <w:position w:val="-1"/>
      <w:sz w:val="27"/>
      <w:szCs w:val="27"/>
      <w:effect w:val="none"/>
      <w:shd w:color="auto" w:fill="ffffff" w:val="clear"/>
      <w:vertAlign w:val="baseline"/>
      <w:cs w:val="0"/>
      <w:em w:val="none"/>
      <w:lang w:bidi="ar-SA"/>
    </w:rPr>
  </w:style>
  <w:style w:type="paragraph" w:styleId="Основнойтекст(2)">
    <w:name w:val="Основной текст (2)"/>
    <w:basedOn w:val="Обычный"/>
    <w:next w:val="Основнойтекст(2)"/>
    <w:autoRedefine w:val="0"/>
    <w:hidden w:val="0"/>
    <w:qFormat w:val="0"/>
    <w:pPr>
      <w:widowControl w:val="0"/>
      <w:shd w:color="auto" w:fill="ffffff" w:val="clear"/>
      <w:suppressAutoHyphens w:val="1"/>
      <w:spacing w:before="420" w:line="475" w:lineRule="atLeast"/>
      <w:ind w:leftChars="-1" w:rightChars="0" w:firstLineChars="-1"/>
      <w:textDirection w:val="btLr"/>
      <w:textAlignment w:val="top"/>
      <w:outlineLvl w:val="0"/>
    </w:pPr>
    <w:rPr>
      <w:rFonts w:ascii="Times New Roman" w:cs="Times New Roman" w:eastAsia="Times New Roman" w:hAnsi="Times New Roman"/>
      <w:b w:val="1"/>
      <w:bCs w:val="1"/>
      <w:w w:val="100"/>
      <w:position w:val="-1"/>
      <w:sz w:val="27"/>
      <w:szCs w:val="27"/>
      <w:effect w:val="none"/>
      <w:shd w:color="auto" w:fill="ffffff" w:val="clear"/>
      <w:vertAlign w:val="baseline"/>
      <w:cs w:val="0"/>
      <w:em w:val="none"/>
      <w:lang w:bidi="ar-SA" w:eastAsia="und"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zakon4.rada.gov.ua/laws/show/468-2009-%C3%90%C2%BF" TargetMode="External"/><Relationship Id="rId11" Type="http://schemas.openxmlformats.org/officeDocument/2006/relationships/hyperlink" Target="http://khnnra.edu.ua/wp-content/uploads/2017/09/Polozennya_Pro_Kriter_Ocinuvan.pdf" TargetMode="External"/><Relationship Id="rId10" Type="http://schemas.openxmlformats.org/officeDocument/2006/relationships/hyperlink" Target="http://khnnra.edu.ua/wp-content/uploads/2017/09/Polozennya_Pro_Yakist.pdf" TargetMode="External"/><Relationship Id="rId13" Type="http://schemas.openxmlformats.org/officeDocument/2006/relationships/hyperlink" Target="http://khnnra.edu.ua/wp-content/uploads/2019/04/Poloz_Dobrochesn.pdf" TargetMode="External"/><Relationship Id="rId12" Type="http://schemas.openxmlformats.org/officeDocument/2006/relationships/hyperlink" Target="http://khnnra.edu.ua/wp-content/uploads/2017/09/Polozennya_Pro_Indiv_Graf_Navch.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khnnra.edu.ua/wp-content/uploads/2017/09/Polozennya_Pro_Vibirkov_Disciplini.pdf" TargetMode="External"/><Relationship Id="rId15" Type="http://schemas.openxmlformats.org/officeDocument/2006/relationships/hyperlink" Target="http://nip.tsatu.edu.ua/" TargetMode="External"/><Relationship Id="rId14" Type="http://schemas.openxmlformats.org/officeDocument/2006/relationships/image" Target="media/image19.png"/><Relationship Id="rId17" Type="http://schemas.openxmlformats.org/officeDocument/2006/relationships/hyperlink" Target="https://ips.ligazakon.net/document/JG3UI00A" TargetMode="External"/><Relationship Id="rId16" Type="http://schemas.openxmlformats.org/officeDocument/2006/relationships/hyperlink" Target="http://www.tsatu.edu.ua/biblioteka/" TargetMode="External"/><Relationship Id="rId5" Type="http://schemas.openxmlformats.org/officeDocument/2006/relationships/styles" Target="styles.xml"/><Relationship Id="rId19" Type="http://schemas.openxmlformats.org/officeDocument/2006/relationships/hyperlink" Target="http://zakon4.rada.gov.ua/laws/show/468-2009-%C3%90%C2%BF" TargetMode="External"/><Relationship Id="rId6" Type="http://schemas.openxmlformats.org/officeDocument/2006/relationships/customXml" Target="../customXML/item1.xml"/><Relationship Id="rId18" Type="http://schemas.openxmlformats.org/officeDocument/2006/relationships/hyperlink" Target="https://smr.gov.ua/images/misto/Pipryemstvo/Harchuvannya/6._posibnyk_nassr.pdf" TargetMode="External"/><Relationship Id="rId7" Type="http://schemas.openxmlformats.org/officeDocument/2006/relationships/hyperlink" Target="http://khnnra.edu.ua/wp-content/uploads/2017/09/Polozennya_Pro_Osvitn_Proces_02_12.pdf" TargetMode="External"/><Relationship Id="rId8" Type="http://schemas.openxmlformats.org/officeDocument/2006/relationships/hyperlink" Target="http://khnnra.edu.ua/wp-content/uploads/2017/09/Pollozen_Pro_Attestac_Sdobubach_Visch_Osvi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JBn0kDpdty9cjrDSS48MQFTcA==">CgMxLjAaJAoBMBIfCh0IB0IZCgVBcmlhbBIQQXJpYWwgVW5pY29kZSBNUxokCgExEh8KHQgHQhkKBUFyaWFsEhBBcmlhbCBVbmljb2RlIE1TMg9pZC5wNmI3OHBvMTJkNnIyD2lkLnV4ZWVqbGZ5aXJ6NTIPaWQuYWdoNWtneGFmc2Z1Mg5oLm15MmN0dmp2djh5MTIOaC52a3ZzbHlscnhwYXI4AHIhMTZ2dUx6UGVUcnlEVktkZG9DRXp2OHl2bUgxbzJQbDN5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2022-11-23T10:20:00Z</dcterms:created>
  <dc:creator>user</dc:creator>
</cp:coreProperties>
</file>

<file path=docProps/custom.xml><?xml version="1.0" encoding="utf-8"?>
<Properties xmlns="http://schemas.openxmlformats.org/officeDocument/2006/custom-properties" xmlns:vt="http://schemas.openxmlformats.org/officeDocument/2006/docPropsVTypes"/>
</file>