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КОМУНАЛЬНИЙ ЗАКЛАД ВИЩОЇ ОСВІТИ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«ХОРТИЦЬКА НАЦІОНАЛЬНА НАВЧАЛЬНО-РЕАБІЛІТАЦІЙНА АКАДЕМІЯ»</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ЗАПОРІЗЬКОЇ ОБЛАСНОЇ РАДИ</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Освітня програма «Харчові технології»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першого (бакалаврського) рівня вищої освіти</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Спеціальність 181 Харчові технології</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СИЛАБУС НАВЧАЛЬНОЇ ДИСЦИПЛІНИ</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9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0"/>
        <w:gridCol w:w="8008"/>
        <w:tblGridChange w:id="0">
          <w:tblGrid>
            <w:gridCol w:w="1990"/>
            <w:gridCol w:w="8008"/>
          </w:tblGrid>
        </w:tblGridChange>
      </w:tblGrid>
      <w:tr>
        <w:trPr>
          <w:cantSplit w:val="0"/>
          <w:trHeight w:val="24" w:hRule="atLeast"/>
          <w:tblHeader w:val="0"/>
        </w:trPr>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Назва дисципліни</w:t>
            </w:r>
            <w:r w:rsidDel="00000000" w:rsidR="00000000" w:rsidRPr="00000000">
              <w:rPr>
                <w:rtl w:val="0"/>
              </w:rPr>
            </w:r>
          </w:p>
        </w:tc>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Загальна та неорганічна хімія</w:t>
            </w: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Викладач</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Завгородній Михайло Петрович</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кандидат біологічних наук</w:t>
            </w:r>
          </w:p>
        </w:tc>
      </w:tr>
      <w:tr>
        <w:trPr>
          <w:cantSplit w:val="0"/>
          <w:trHeight w:val="24" w:hRule="atLeast"/>
          <w:tblHeader w:val="0"/>
        </w:trPr>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Контактний телефон</w:t>
            </w:r>
            <w:r w:rsidDel="00000000" w:rsidR="00000000" w:rsidRPr="00000000">
              <w:rPr>
                <w:rtl w:val="0"/>
              </w:rPr>
            </w:r>
          </w:p>
        </w:tc>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0636305264</w:t>
            </w:r>
          </w:p>
        </w:tc>
      </w:tr>
      <w:tr>
        <w:trPr>
          <w:cantSplit w:val="0"/>
          <w:trHeight w:val="24" w:hRule="atLeast"/>
          <w:tblHeader w:val="0"/>
        </w:trPr>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Посилання</w:t>
            </w:r>
            <w:r w:rsidDel="00000000" w:rsidR="00000000" w:rsidRPr="00000000">
              <w:rPr>
                <w:rtl w:val="0"/>
              </w:rPr>
            </w:r>
          </w:p>
        </w:tc>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red"/>
                <w:u w:val="none"/>
                <w:vertAlign w:val="baseline"/>
                <w:rtl w:val="0"/>
              </w:rPr>
              <w:t xml:space="preserve">!</w:t>
            </w:r>
            <w:r w:rsidDel="00000000" w:rsidR="00000000" w:rsidRPr="00000000">
              <w:rPr>
                <w:rtl w:val="0"/>
              </w:rPr>
            </w:r>
          </w:p>
        </w:tc>
      </w:tr>
      <w:tr>
        <w:trPr>
          <w:cantSplit w:val="0"/>
          <w:trHeight w:val="24" w:hRule="atLeast"/>
          <w:tblHeader w:val="0"/>
        </w:trPr>
        <w:tc>
          <w:tcPr>
            <w:tcBorders>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Консультації</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Очні консультації: за попередньою домовленістю четвер з 9.00 до 17.00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Онлайн консультації: за попередньою домовленістю Viber (0636305264) в робочі дні з 9.00 до 17.00</w:t>
            </w:r>
          </w:p>
        </w:tc>
      </w:tr>
      <w:tr>
        <w:trPr>
          <w:cantSplit w:val="0"/>
          <w:trHeight w:val="24" w:hRule="atLeast"/>
          <w:tblHeader w:val="0"/>
        </w:trPr>
        <w:tc>
          <w:tcPr>
            <w:tcBorders>
              <w:left w:color="000000" w:space="0" w:sz="0" w:val="nil"/>
              <w:right w:color="000000" w:space="0" w:sz="0" w:val="nil"/>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Borders>
              <w:left w:color="000000" w:space="0" w:sz="0" w:val="nil"/>
              <w:right w:color="000000" w:space="0" w:sz="0" w:val="nil"/>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Анотація</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Програму вивчення навчальної дисципліни « Загальна та неорганічна хімія» розроблено відповідно до освітньо-професійної програми підготовки першого (бакалаврського) рівня вищої освіти спеціальності 181 Харчові технології  галузі знань 18 Виробництво та технології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кваліфікація: бакалавр з харчових технологій</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Предметом</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вивчення курсу є опанування студентами знань загальної та  неорганічної хімії,  навиків виконання хімічного експерименту які є необхідними для підготовки кваліфікованих фахівців з технологій зберігання, консервування та переробки м’яса, риби та морепродуктів.</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Міждисциплінарні зв’язки:</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Забезпечуючі дисципліни: «Органічна хімія», «Аналітична хімія», «Фізична та колоїдна хімія».</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Забезпечувані дисципліни: «Харчова хімія», «Мікробіологія харчових продуктів». «Харчові добавки», «Технологія харчових виробництв», «Штучні продукти харчування».</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Програма навчальної дисципліни складається з таких модулів:</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 1.  Загальна  хімія.</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36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 2. Неогранічна хімія. Хімічні особливості використання хімічних сполук в харчових технологіях.</w:t>
            </w:r>
          </w:p>
        </w:tc>
      </w:tr>
      <w:tr>
        <w:trPr>
          <w:cantSplit w:val="0"/>
          <w:trHeight w:val="24" w:hRule="atLeast"/>
          <w:tblHeader w:val="0"/>
        </w:trPr>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Заплановані результати навчання</w:t>
            </w:r>
            <w:r w:rsidDel="00000000" w:rsidR="00000000" w:rsidRPr="00000000">
              <w:rPr>
                <w:rtl w:val="0"/>
              </w:rPr>
            </w:r>
          </w:p>
        </w:tc>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5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Мета навчального курсу:</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є забезпечення студентів знаннями основ сучасної загальної та неорганічної хімії, які допоможуть їм добре засвоїти профілюючі дисципліни, а в практичній роботі будуть сприяти розумінню хімічних аспектів заходів</w:t>
            </w: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спрямованих на вдосконалення харчових технологійї.</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формування професійної кваліфікації фахівців з харчових технологій.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4"/>
              </w:tabs>
              <w:spacing w:after="0" w:before="0" w:line="240" w:lineRule="auto"/>
              <w:ind w:left="0" w:right="0" w:firstLine="358"/>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авдання дисципліни:</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4"/>
              </w:tabs>
              <w:spacing w:after="0" w:before="0" w:line="240" w:lineRule="auto"/>
              <w:ind w:left="0" w:right="0" w:firstLine="35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Основним завданням вивчення навчальної дисципліни є:</w:t>
            </w:r>
          </w:p>
          <w:p w:rsidR="00000000" w:rsidDel="00000000" w:rsidP="00000000" w:rsidRDefault="00000000" w:rsidRPr="00000000" w14:paraId="0000002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112" w:right="0" w:firstLine="9.00000000000000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ознайомлення студентів з основними законами загальної хімії;</w:t>
            </w:r>
          </w:p>
          <w:p w:rsidR="00000000" w:rsidDel="00000000" w:rsidP="00000000" w:rsidRDefault="00000000" w:rsidRPr="00000000" w14:paraId="0000002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112" w:right="0" w:firstLine="9.00000000000000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вивчення будови, основи атомно-молекулярного вчення, основні закони хімічної стеріометрії;</w:t>
            </w:r>
          </w:p>
          <w:p w:rsidR="00000000" w:rsidDel="00000000" w:rsidP="00000000" w:rsidRDefault="00000000" w:rsidRPr="00000000" w14:paraId="0000002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112" w:right="0" w:firstLine="9.00000000000000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знати структуру періодичної системи елементів;</w:t>
            </w:r>
          </w:p>
          <w:p w:rsidR="00000000" w:rsidDel="00000000" w:rsidP="00000000" w:rsidRDefault="00000000" w:rsidRPr="00000000" w14:paraId="0000002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112" w:right="0" w:firstLine="9.00000000000000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розуміти природу хімічного звязку та основні характеристики;</w:t>
            </w:r>
          </w:p>
          <w:p w:rsidR="00000000" w:rsidDel="00000000" w:rsidP="00000000" w:rsidRDefault="00000000" w:rsidRPr="00000000" w14:paraId="0000002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розуміти вчення  про розчини електролітів і неелектролітів;</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окисно-відновні процеси;</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властивості хімічних елементів: металів та неметалів;</w:t>
            </w:r>
          </w:p>
          <w:p w:rsidR="00000000" w:rsidDel="00000000" w:rsidP="00000000" w:rsidRDefault="00000000" w:rsidRPr="00000000" w14:paraId="0000003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біогенні елементи;</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основними положеннями теорії будови неорганічних сполук;</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класами неорганічних сполук;</w:t>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уявленням про суть та механізм гідролізу;</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властивостями комплексних сполук та їх будову;</w:t>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будовою, властивостями та ролью атомів металів;</w:t>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будовою, властивостями та ролью атомів біогенних елементів;</w:t>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05"/>
              </w:tabs>
              <w:spacing w:after="0" w:before="0" w:line="240" w:lineRule="auto"/>
              <w:ind w:left="263" w:right="0" w:firstLine="8.999999999999986"/>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принципи перетворення елементів в різних харчових технологіях;</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4"/>
              </w:tabs>
              <w:spacing w:after="0" w:before="0" w:line="240" w:lineRule="auto"/>
              <w:ind w:left="0" w:right="0" w:firstLine="21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35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Згідно з вимогами освітньої (освітньо-професійної, освітньо-наукової ) програми студенти  повинні досягнути таких результатів навчання (компетентностей):</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знати: теоретичні основи загальної та неорганічної хімії  необхідні для розуміння хімічних процесів в практичній роботі будуть сприяти розумінню хімічних аспектів заходів, спрямованих на вдосконалення харчових технологійї.</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формування професійної кваліфікації фахівців з харчових технологій,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7"/>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вміти</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виконувати хімічний експеримент в межах практикуму загальної та неорганічноїхімії; пояснити реакції та процеси, що відбуваються при технологічних процесах харчових технолгій; проводити аналіз хімічних речовин; володіти хімічними методиками хімічних перетворень, володіти знаннями хімічних властивостей біогенних елементів та їх найважливіших сполук, особливостей хімічних процесів, що супроводжують зберігання, консервування та переробку м’яса, риби та морепродуктів; використовувати знання та навички під час вивчення курсу в подальшій навчальній та трудовій діяльності. </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 організовувати роботу щодо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хімічних аспектів заходів, спрямованих на вдосконалення харчових технологійї</w:t>
            </w:r>
            <w:bookmarkStart w:colFirst="0" w:colLast="0" w:name="bookmark=id.57w24h7wueln"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br w:type="textWrapping"/>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5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компетенції: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усвідомлювати закономірності хімічних процесів, які є основою хімії харчових продуктів та технологій їх переробки, здатність розуміти та планувати хімічні процеси що супроводжують зберігання, консервування та переробку м’яса, риби та морепродуктів, планування використання добрив у технологічному процесі вирощування посадкового матеріалу,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володіти аналізом основних прийомів виконання хімічного експерименту, пов’язаних з вдосконаленням харчових технологій та покращенням якості готової продукції</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 застосовувати отримані знання у професійній діяльності, здатність аналізувати і робити висновки з отриманого дослідницького матеріалу.</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процесі засвоєння дисципліни студент має набути таких соціальних навичок (soft-skills):</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Уміння комунікувати в професійній діяльності з науковцями відповідних галузей;</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Донесення до фахівців і нефахівців інформації та власного досвіду з використання хімічних речовин в харчовій промисловості, аналізу вмісту хімічних речовин в харчових продуктах, характеристика якості готової продукції, технологій переробки харчових продуктів та їх вдосконалення;</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 співпрацювати з фахівцями інших галузей знань, робити фаховий внесок у колективну роботу в рамках комплексних проектів;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Здатність до спільного вироблення стратегій вирішення проблем оптимізації харчових технологій та покращенням якості готової продукції;</w:t>
            </w:r>
          </w:p>
          <w:p w:rsidR="00000000" w:rsidDel="00000000" w:rsidP="00000000" w:rsidRDefault="00000000" w:rsidRPr="00000000" w14:paraId="0000004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Здатність донесення інформації до фахівців і нефахівців з проблемних питань використання біогенних елементів та їх найважливіших сполук, особливостей хімічних процесів, що супроводжують зберігання, консервування та переробку м’яса, риби та морепродукті, здатність спільно працювати з експертами у цій галузі;</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35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Дотримуватись етичних принципів комунікації та культури у професійній діяльності.</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5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 w:hRule="atLeast"/>
          <w:tblHeader w:val="0"/>
        </w:trPr>
        <w:tc>
          <w:tcP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Політика дисципліни</w:t>
            </w:r>
            <w:r w:rsidDel="00000000" w:rsidR="00000000" w:rsidRPr="00000000">
              <w:rPr>
                <w:rtl w:val="0"/>
              </w:rPr>
            </w:r>
          </w:p>
        </w:tc>
        <w:tc>
          <w:tcPr>
            <w:vAlign w:val="top"/>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При організації освітнього процесу в Хортицькій національній академії студенти, викладачі, методисти та адміністрація діють відповідно до: </w:t>
            </w:r>
            <w:hyperlink r:id="rId7">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організацію освітнього процесу</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атестацію здобувачів вищої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вибіркові дисципліни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систему внутрішнього забезпечення якості освіти</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1">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критерії оцінювання знань студентів</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2">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переведення на індивідуальний графік навчання студентів денної форми навчання</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hyperlink r:id="rId13">
              <w:r w:rsidDel="00000000" w:rsidR="00000000" w:rsidRPr="00000000">
                <w:rPr>
                  <w:rFonts w:ascii="Arial" w:cs="Arial" w:eastAsia="Arial" w:hAnsi="Arial"/>
                  <w:b w:val="0"/>
                  <w:i w:val="0"/>
                  <w:smallCaps w:val="0"/>
                  <w:strike w:val="0"/>
                  <w:color w:val="0000ff"/>
                  <w:sz w:val="22"/>
                  <w:szCs w:val="22"/>
                  <w:highlight w:val="white"/>
                  <w:u w:val="single"/>
                  <w:vertAlign w:val="baseline"/>
                  <w:rtl w:val="0"/>
                </w:rPr>
                <w:t xml:space="preserve">Положення про академічну доброчесність</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780"/>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ОПИС НАВЧАЛЬНОЇ ДИСЦИПЛІНИ</w:t>
      </w:r>
    </w:p>
    <w:tbl>
      <w:tblPr>
        <w:tblStyle w:val="Table2"/>
        <w:tblW w:w="10065.0" w:type="dxa"/>
        <w:jc w:val="center"/>
        <w:tblBorders>
          <w:top w:color="00000a" w:space="0" w:sz="4" w:val="single"/>
          <w:left w:color="00000a" w:space="0" w:sz="4" w:val="single"/>
          <w:bottom w:color="00000a" w:space="0" w:sz="4" w:val="single"/>
          <w:right w:color="00000a" w:space="0" w:sz="4" w:val="single"/>
          <w:insideH w:color="00000a" w:space="0" w:sz="4" w:val="single"/>
          <w:insideV w:color="00000a" w:space="0" w:sz="4" w:val="single"/>
        </w:tblBorders>
        <w:tblLayout w:type="fixed"/>
        <w:tblLook w:val="0000"/>
      </w:tblPr>
      <w:tblGrid>
        <w:gridCol w:w="3880"/>
        <w:gridCol w:w="2551"/>
        <w:gridCol w:w="1545"/>
        <w:gridCol w:w="2089"/>
        <w:tblGridChange w:id="0">
          <w:tblGrid>
            <w:gridCol w:w="3880"/>
            <w:gridCol w:w="2551"/>
            <w:gridCol w:w="1545"/>
            <w:gridCol w:w="2089"/>
          </w:tblGrid>
        </w:tblGridChange>
      </w:tblGrid>
      <w:tr>
        <w:trPr>
          <w:cantSplit w:val="1"/>
          <w:trHeight w:val="29" w:hRule="atLeast"/>
          <w:tblHeader w:val="0"/>
        </w:trPr>
        <w:tc>
          <w:tcPr>
            <w:vMerge w:val="restart"/>
            <w:tcMar>
              <w:left w:w="108.0" w:type="dxa"/>
            </w:tcMa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Найменування показників</w:t>
            </w:r>
          </w:p>
        </w:tc>
        <w:tc>
          <w:tcPr>
            <w:vMerge w:val="restart"/>
            <w:tcMar>
              <w:left w:w="108.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 спеціальність,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tc>
        <w:tc>
          <w:tcPr>
            <w:gridSpan w:val="2"/>
            <w:tcMar>
              <w:left w:w="108.0" w:type="dxa"/>
            </w:tcMa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навчальної дисципліни</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форма навчання</w:t>
            </w:r>
          </w:p>
        </w:tc>
        <w:tc>
          <w:tcPr>
            <w:tcMar>
              <w:left w:w="108.0" w:type="dxa"/>
            </w:tcM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денна</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 кредитів – 6</w:t>
            </w:r>
          </w:p>
        </w:tc>
        <w:tc>
          <w:tcPr>
            <w:tcMar>
              <w:left w:w="108.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Галузь знань</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Виробництво та технології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Нормативна</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Спеціальність 181 Харчові технології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Семестр</w:t>
            </w:r>
          </w:p>
        </w:tc>
        <w:tc>
          <w:tcPr>
            <w:tcMar>
              <w:left w:w="108.0" w:type="dxa"/>
            </w:tcMa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r>
      <w:tr>
        <w:trPr>
          <w:cantSplit w:val="1"/>
          <w:trHeight w:val="29" w:hRule="atLeast"/>
          <w:tblHeader w:val="0"/>
        </w:trPr>
        <w:tc>
          <w:tcPr>
            <w:tcMar>
              <w:left w:w="108.0" w:type="dxa"/>
            </w:tcM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Модулів – 2</w:t>
            </w:r>
          </w:p>
        </w:tc>
        <w:tc>
          <w:tcPr>
            <w:vMerge w:val="restart"/>
            <w:tcMar>
              <w:left w:w="108.0" w:type="dxa"/>
            </w:tcMa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Освітній рівень:</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Бакалавр</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Аудиторні години: 60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Змістових модулів – 2</w:t>
            </w:r>
          </w:p>
        </w:tc>
        <w:tc>
          <w:tcPr>
            <w:vMerge w:val="continue"/>
            <w:tcMar>
              <w:left w:w="108.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tcMar>
              <w:left w:w="108.0" w:type="dxa"/>
            </w:tcMa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Лекції:</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40 год. </w:t>
            </w:r>
          </w:p>
        </w:tc>
        <w:tc>
          <w:tcPr>
            <w:tcMar>
              <w:left w:w="108.0" w:type="dxa"/>
            </w:tcMa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Практичні, семінарські: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год.</w:t>
            </w:r>
          </w:p>
        </w:tc>
      </w:tr>
      <w:tr>
        <w:trPr>
          <w:cantSplit w:val="1"/>
          <w:trHeight w:val="29" w:hRule="atLeast"/>
          <w:tblHeader w:val="0"/>
        </w:trPr>
        <w:tc>
          <w:tcPr>
            <w:tcMar>
              <w:left w:w="108.0" w:type="dxa"/>
            </w:tcM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Загальна кількість годин – 180</w:t>
            </w:r>
          </w:p>
        </w:tc>
        <w:tc>
          <w:tcPr>
            <w:vMerge w:val="continue"/>
            <w:tcMar>
              <w:left w:w="108.0"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tcMar>
              <w:left w:w="108.0" w:type="dxa"/>
            </w:tcMa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Лабораторні:</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 год.</w:t>
            </w:r>
          </w:p>
        </w:tc>
      </w:tr>
      <w:tr>
        <w:trPr>
          <w:cantSplit w:val="1"/>
          <w:trHeight w:val="29" w:hRule="atLeast"/>
          <w:tblHeader w:val="0"/>
        </w:trPr>
        <w:tc>
          <w:tcPr>
            <w:vMerge w:val="restart"/>
            <w:tcMar>
              <w:left w:w="108.0" w:type="dxa"/>
            </w:tcMar>
            <w:vAlign w:val="cente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Тижневих годин для денної форми навчання:</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аудиторних – 3</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самостійної роботи студента – 3,5</w:t>
            </w:r>
          </w:p>
        </w:tc>
        <w:tc>
          <w:tcPr>
            <w:vMerge w:val="continue"/>
            <w:tcMar>
              <w:left w:w="108.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Самостійна робота 120 год</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Модульний контроль</w:t>
            </w:r>
          </w:p>
        </w:tc>
      </w:tr>
      <w:tr>
        <w:trPr>
          <w:cantSplit w:val="1"/>
          <w:trHeight w:val="29" w:hRule="atLeast"/>
          <w:tblHeader w:val="0"/>
        </w:trPr>
        <w:tc>
          <w:tcPr>
            <w:vMerge w:val="continue"/>
            <w:tcMar>
              <w:left w:w="108.0"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tcMar>
              <w:left w:w="108.0" w:type="dxa"/>
            </w:tcM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gridSpan w:val="2"/>
            <w:tcMar>
              <w:left w:w="108.0" w:type="dxa"/>
            </w:tcMar>
            <w:vAlign w:val="cente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Вид контролю: екзамен</w:t>
            </w:r>
          </w:p>
        </w:tc>
      </w:tr>
    </w:tb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ПРОГРАМА НАВЧАЛЬНОЇ ДИСЦИПЛІНИ</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Неорганічна хімія.</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Теоретичні основи курсу загальної хімії. Предмет та задачі хімії. Роль хімії харчовій промисловості. Основні поняття і закони хімії</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Хімія – природнича наука, яка вивчає навколишній світ. Предмет хімія. Матерія і рух. Речовина. властивості речовин. Хімічні та фізичні явища. Хімічні перетворення. Значення хімії у виробничій діяльності  людини, сучасних технічних досягненнях, агрохімії.</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 Основні закони та поняття хімії. Хімічний зв’язок.</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положення атомно-молекулярного вчення. Атоми. Молекули. хімічні елементи. Відносна атомна маса. Відносна молекулярна маса. Закон збереження маси речовини. Рівняння  хімічних  реакцій.  Закон  еквівалентів. Закон сталості складу речовини. Газові закони. Закон Авогадро. Молярний об’єм. Об’ємна частка. Відносна  густина газів.</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Електронна будова  атомів. Хімічний зв’язок.</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582"/>
        </w:tabs>
        <w:spacing w:after="120" w:before="64" w:line="240" w:lineRule="auto"/>
        <w:ind w:left="0" w:right="11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Атомна орбіталь. Типи атомних орбіталей. Заповнення електронами атомних орбіталей. Будова багатоелектронних атомів. Електронні структури атомів і періодична система елементів s-, р-, d-, f-елементів. Періодичний закон Д.І.  Менделеєва      і   періодична   система.   Залежність  хімічних   властивостей елементів від електронної</w:t>
        <w:tab/>
        <w:t xml:space="preserve">будови їх атомів. Енергія іонізації. Спорідненість з електроном.  Електронегативність.</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4"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типи хімічного зв’язку та їх інтерпретація методом валентних зв’язків. Ковалентний зв’язок, його характеристика. Направленість ковалентного зв’язку. Гібридизації і просторова конфігурація молекул. Полярність ковалентного зв’язку. Полярний та неполярний зв’язки. Полярність молекул. Іонний  зв’язок.</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 Швидкість хімічних реакцій та її залежність від температури та концентрації. Хімічна рівновага та її залежність від зовнішніх факторів.</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6"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Швидкість хімічної реакції. Вплив різних факторів. Закон діючих мас. Оборотні та необоротні хімічні реакції. Константа рівноваги. Вплив різних факторів на рівновагу. Принцип Ле-Шательє. Класифікація хімічних реакцій. Фотохімічні  реакції. Каталіз. Приклади каталітичних реакції.</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Електролітична дисоціація. Розчини.</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Уявлення про розчини. Розчинник, розчинна речовина. Розчинність. Залежність розчинності речовин. від різних факторів. Способи кількісного вираження складу розчинів. Масова частка розчинної речовини, молярна концентрація  розчинної  речовини.</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Теорія електролітичної дисоціації. Сильні та слабкі електроліти. Ступінь електролітичної дисоціації. Константа електролітичної дисоціації. Електролітична дисоціація кислот, основ, солей. Ступенева дисоціація. Електролітична дисоціація води. Іонний добуток води. Водневий показник рН. Індикатори. Іонні процеси, реакції іонного обміну в розчинах  електролітів. Гідроліз  солей.</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Загальні теоретичні положення гідролізу солей. кількісні характеристики гідролізу та фактори, що на них впливають. Реакція середовища, як налсідок гідролізу. роль процесів гідролізу в харчових технологіях.</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4" w:line="240"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4" w:line="240"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Координацiйнi (комплексні) сполуки закономірності утворення комплексних сполук (теорія Вернера), їх класифікацію номенклатуру, хімічні властивості. Використання ціих сполук в харчових технологіях (харчові добавки).</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2. Неорганічна хімія. Хімічні особливості використання хімічних сполук в харчових технологіях</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21"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Сучасна класифікація неорганічних сполук і хімічних реакцій.</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Оксиди. Солетворні і несолетворні оксиди. Методи одержання та основні хімічні  властивості.</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Основи. Номенклатура основ, графічне зображення фенолу. Кислотність основ. Луги та нерозчинні у воді  основи.  Методи  одержання.  Хімічні властивості  основ.</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Кислоти, їх класифікація за складом (кисневмісні, безкисневі), номенклатура, графічне зображення формул. Основність кислот. Методи одержання кислот. Основні хімічні властивості кислот. Амфотерні гідроксили. Методи одержання. Хімічні  властивості  амфотерних гідроксидів.</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8"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Солі. Класифікація за хімічними властивостями та складом (середні, кислі, основні). Номенклатура. Графічне зображення формул. одержання солей. Хімічні властивості. Генетичний  зв’язок між основними класами хімічних сполук.</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 w:line="240" w:lineRule="auto"/>
        <w:ind w:left="0" w:right="11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Розрахунок відносної молекулярної маси речовини. Хімічні формули. Масова частка речовини. Розрахунки за хімічними формулами та хімічними рівняннями.</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6"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Окислювально-відновні реакції.</w:t>
        <w:tab/>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Ступінь окислення. Загальні поняття про окисно-відновні процеси. Окислювачі і відновники. Рівняння окисно-відновних процесів. Окисно-відновні потенціали. Напрямок окисно-відновних реакцій.</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властивості металів та неметалів. Загальні властивості металів та неметалів. Протікання хімічних процесів в харчових технологіях з участю металів.</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 w:line="240"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Положення металів в періодичній системі. Поширеність металів у природі. Добування металів. Фізичні та хімічні властивості металів. Електрохімічні властивості металів.</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Положення неметалів в періодичній системі елементів.  Особливості будови атомів неметалів. Хімічна активність неметалів. Елементи V А групи. Положення в періодичній  системі, будова їх атомів.</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4"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Азот (нітроген), наявність в природі. Одержання. Фізичні та хімічні властивості. Амоніак. Лабораторні та промислові способи одержання, фізичні та хімічні властивості. Сполуки азоту. Солі амонію. оксиди азоту. Азотна кислота та  її солі.  Кругообіг азоту в природі. Азотні добрива.</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2" w:lineRule="auto"/>
        <w:ind w:left="0" w:right="113"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Фосфор. Хімічні та фізичні властивості. Застосування. Сполуки фосфору, кругообіг в природі. Фосфорні добрива.</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Поняття про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біогенні макро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мікроелементи. р-елементи ІІІ- VII груп та їх</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сполуки. особливості електронної будови атомів елементів, їх типові валентні стани та ступені окиснення у сполуках. Хімічні властивості біогенних макро- і мікроелементів та їх найважливіших сполук. Їх роль в живих організмах, продуктах харчування.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Їх</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застосування  в технологіях переробки та консервування харчової сировини</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s-елементи І, ІІ</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груп та їх сполуки Біогенні метали побічних підгруп (d- елементи) та їх сполуки. Електронна будова, валентності, ступені окиснення атомів біогенних металів , хімічні  властивості їх найважливіших сполук. використання у сучасних харчових технологіях. Біологічна дія та перетворення в різних  системах і технологічних процесах. Їх застосування  в технологіях переробки та консервування харчової сировини</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4" w:line="240" w:lineRule="auto"/>
        <w:ind w:left="0" w:right="108"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СТРУКТУРА НАВЧАЛЬНОЇ ДИСЦИПЛІНИ</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tbl>
      <w:tblPr>
        <w:tblStyle w:val="Table3"/>
        <w:tblW w:w="10275.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03"/>
        <w:gridCol w:w="1490"/>
        <w:gridCol w:w="569"/>
        <w:gridCol w:w="740"/>
        <w:gridCol w:w="958"/>
        <w:gridCol w:w="880"/>
        <w:gridCol w:w="935"/>
        <w:tblGridChange w:id="0">
          <w:tblGrid>
            <w:gridCol w:w="4703"/>
            <w:gridCol w:w="1490"/>
            <w:gridCol w:w="569"/>
            <w:gridCol w:w="740"/>
            <w:gridCol w:w="958"/>
            <w:gridCol w:w="880"/>
            <w:gridCol w:w="935"/>
          </w:tblGrid>
        </w:tblGridChange>
      </w:tblGrid>
      <w:tr>
        <w:trPr>
          <w:cantSplit w:val="1"/>
          <w:trHeight w:val="562" w:hRule="atLeast"/>
          <w:tblHeader w:val="0"/>
        </w:trPr>
        <w:tc>
          <w:tcPr>
            <w:vMerge w:val="restart"/>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Назви тем</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змістових модулів</w:t>
            </w:r>
            <w:r w:rsidDel="00000000" w:rsidR="00000000" w:rsidRPr="00000000">
              <w:rPr>
                <w:rtl w:val="0"/>
              </w:rPr>
            </w:r>
          </w:p>
        </w:tc>
        <w:tc>
          <w:tcPr>
            <w:gridSpan w:val="6"/>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годин</w:t>
            </w:r>
            <w:r w:rsidDel="00000000" w:rsidR="00000000" w:rsidRPr="00000000">
              <w:rPr>
                <w:rtl w:val="0"/>
              </w:rPr>
            </w:r>
          </w:p>
        </w:tc>
      </w:tr>
      <w:tr>
        <w:trPr>
          <w:cantSplit w:val="1"/>
          <w:trHeight w:val="144" w:hRule="atLeast"/>
          <w:tblHeader w:val="0"/>
        </w:trPr>
        <w:tc>
          <w:tcPr>
            <w:vMerge w:val="continue"/>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restart"/>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 </w:t>
            </w:r>
            <w:r w:rsidDel="00000000" w:rsidR="00000000" w:rsidRPr="00000000">
              <w:rPr>
                <w:rtl w:val="0"/>
              </w:rPr>
            </w:r>
          </w:p>
        </w:tc>
        <w:tc>
          <w:tcPr>
            <w:gridSpan w:val="5"/>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 тому числі</w:t>
            </w:r>
            <w:r w:rsidDel="00000000" w:rsidR="00000000" w:rsidRPr="00000000">
              <w:rPr>
                <w:rtl w:val="0"/>
              </w:rPr>
            </w:r>
          </w:p>
        </w:tc>
      </w:tr>
      <w:tr>
        <w:trPr>
          <w:cantSplit w:val="1"/>
          <w:trHeight w:val="144" w:hRule="atLeast"/>
          <w:tblHeader w:val="0"/>
        </w:trPr>
        <w:tc>
          <w:tcPr>
            <w:vMerge w:val="continue"/>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л</w:t>
            </w:r>
            <w:r w:rsidDel="00000000" w:rsidR="00000000" w:rsidRPr="00000000">
              <w:rPr>
                <w:rtl w:val="0"/>
              </w:rPr>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w:t>
            </w:r>
            <w:r w:rsidDel="00000000" w:rsidR="00000000" w:rsidRPr="00000000">
              <w:rPr>
                <w:rtl w:val="0"/>
              </w:rPr>
            </w:r>
          </w:p>
        </w:tc>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лаб</w:t>
            </w:r>
            <w:r w:rsidDel="00000000" w:rsidR="00000000" w:rsidRPr="00000000">
              <w:rPr>
                <w:rtl w:val="0"/>
              </w:rPr>
            </w:r>
          </w:p>
        </w:tc>
        <w:tc>
          <w:tcP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w:t>
            </w:r>
            <w:r w:rsidDel="00000000" w:rsidR="00000000" w:rsidRPr="00000000">
              <w:rPr>
                <w:rtl w:val="0"/>
              </w:rPr>
            </w:r>
          </w:p>
        </w:tc>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с.р.</w:t>
            </w:r>
            <w:r w:rsidDel="00000000" w:rsidR="00000000" w:rsidRPr="00000000">
              <w:rPr>
                <w:rtl w:val="0"/>
              </w:rPr>
            </w:r>
          </w:p>
        </w:tc>
      </w:tr>
      <w:tr>
        <w:trPr>
          <w:cantSplit w:val="0"/>
          <w:trHeight w:val="270" w:hRule="atLeast"/>
          <w:tblHeader w:val="0"/>
        </w:trPr>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r>
      <w:tr>
        <w:trPr>
          <w:cantSplit w:val="1"/>
          <w:trHeight w:val="555" w:hRule="atLeast"/>
          <w:tblHeader w:val="0"/>
        </w:trPr>
        <w:tc>
          <w:tcPr>
            <w:gridSpan w:val="7"/>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Загальна  хімія</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360"/>
              </w:tabs>
              <w:spacing w:after="0" w:before="0" w:line="240" w:lineRule="auto"/>
              <w:ind w:left="0" w:right="-12"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78" w:hRule="atLeast"/>
          <w:tblHeader w:val="0"/>
        </w:trPr>
        <w:tc>
          <w:tcP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Теоретичні основи курсу загальної хімії. Предмет та задачі хімії. Роль хімії харчовій промисловості. Основні поняття і закони хімії</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w:t>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433" w:hRule="atLeast"/>
          <w:tblHeader w:val="0"/>
        </w:trPr>
        <w:tc>
          <w:tcP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2"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закони та поняття хімії.</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Хімічний зв’язок.</w:t>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3.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Електронна будова  атомів. Хімічний зв’язок.</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7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12" w:right="11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Швидкість хімічних реакцій та її залежність від температури та концентрації. Хімічна рівновага та її залежність від зовнішніх факторів.</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39"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w:t>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88"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5.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Електролітична дисоціація. Розчини.</w:t>
            </w:r>
          </w:p>
        </w:tc>
        <w:tc>
          <w:tcP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0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6.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теоретичні положення гідролізу солей. кількісні характеристики гідролізу та фактори, що на них впливають. Реакція середовища, як налсідок гідролізу. роль процесів гідролізу в харчових технологіях</w:t>
            </w:r>
          </w:p>
        </w:tc>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4" w:line="240" w:lineRule="auto"/>
              <w:ind w:left="0" w:right="113"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7.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Координацiйнi (комплексні) сполуки закономірності утворення комплексних сполук (теорія Вернера), їх класифікацію номенклатуру, хімічні властивості. Використання ціих сполук в харчових технологіях (харчові добавки).</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01"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w:t>
            </w:r>
          </w:p>
        </w:tc>
        <w:tc>
          <w:tcPr>
            <w:vAlign w:val="top"/>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40" w:hRule="atLeast"/>
          <w:tblHeader w:val="0"/>
        </w:trPr>
        <w:tc>
          <w:tcP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1</w:t>
            </w:r>
            <w:r w:rsidDel="00000000" w:rsidR="00000000" w:rsidRPr="00000000">
              <w:rPr>
                <w:rtl w:val="0"/>
              </w:rPr>
            </w:r>
          </w:p>
        </w:tc>
        <w:tc>
          <w:tcPr>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107</w:t>
            </w:r>
            <w:r w:rsidDel="00000000" w:rsidR="00000000" w:rsidRPr="00000000">
              <w:rPr>
                <w:rtl w:val="0"/>
              </w:rPr>
            </w:r>
          </w:p>
        </w:tc>
        <w:tc>
          <w:tcPr>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70</w:t>
            </w:r>
            <w:r w:rsidDel="00000000" w:rsidR="00000000" w:rsidRPr="00000000">
              <w:rPr>
                <w:rtl w:val="0"/>
              </w:rPr>
            </w:r>
          </w:p>
        </w:tc>
      </w:tr>
      <w:tr>
        <w:trPr>
          <w:cantSplit w:val="1"/>
          <w:trHeight w:val="607" w:hRule="atLeast"/>
          <w:tblHeader w:val="0"/>
        </w:trPr>
        <w:tc>
          <w:tcPr>
            <w:gridSpan w:val="7"/>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2"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ІІ. Неорганічна хімія. Хімічні особливості використання хімічних сполук в харчових технологіях</w:t>
            </w:r>
            <w:r w:rsidDel="00000000" w:rsidR="00000000" w:rsidRPr="00000000">
              <w:rPr>
                <w:rFonts w:ascii="Arial" w:cs="Arial" w:eastAsia="Arial" w:hAnsi="Arial"/>
                <w:b w:val="1"/>
                <w:i w:val="0"/>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2"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516" w:hRule="atLeast"/>
          <w:tblHeader w:val="0"/>
        </w:trPr>
        <w:tc>
          <w:tcPr>
            <w:vAlign w:val="top"/>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8.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Сучасна класифікація неорганічних сполук і хімічних реакцій.</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2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555" w:hRule="atLeast"/>
          <w:tblHeader w:val="0"/>
        </w:trPr>
        <w:tc>
          <w:tcPr>
            <w:vAlign w:val="top"/>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06"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9.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Окислювально-відновні реакції.</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Ступінь окислення. Загальні поняття про окисно-відновні процеси. Окислювачі і відновники.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37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333" w:hRule="atLeast"/>
          <w:tblHeader w:val="0"/>
        </w:trPr>
        <w:tc>
          <w:tcP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115"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10.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властивості металів та неметалів. Протікання хімічних процесів в харчових технологіях з участю металів.</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3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0"/>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705" w:hRule="atLeast"/>
          <w:tblHeader w:val="0"/>
        </w:trPr>
        <w:tc>
          <w:tcP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11.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Поняття про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біогенні макро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мікроелементи. р-елементи ІІІ- VII груп та їх</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сполуки. особливості електронної будови атомів елементів, їх типові валентні стани та ступені окиснення у сполуках. Хімічні властивості біогенних макро- і мікроелементів та їх найважливіших сполук. Їх роль в живих організмах, продуктах харчування. Їх застосування  в технологіях переробки та консервування харчової сировини</w:t>
            </w:r>
            <w:r w:rsidDel="00000000" w:rsidR="00000000" w:rsidRPr="00000000">
              <w:rPr>
                <w:rtl w:val="0"/>
              </w:rPr>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w:t>
            </w:r>
          </w:p>
        </w:tc>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sdt>
              <w:sdtPr>
                <w:tag w:val="goog_rdk_1"/>
              </w:sdtPr>
              <w:sdtContent>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w:t>
                </w:r>
              </w:sdtContent>
            </w:sdt>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702" w:hRule="atLeast"/>
          <w:tblHeader w:val="0"/>
        </w:trPr>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Тема 12.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s-елементи І, ІІ</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груп та їх сполуки Біогенні метали побічних підгруп (d- елементи) та їх сполуки. Електронна будова, валентності, ступені окиснення атомів біогенних металів , хімічні  властивості їх найважливіших сполук. використання у сучасних харчових технологіях. Біологічна дія та перетворення в різних  системах і технологічних процесах. Їх застосування  в технологіях переробки та консервування харчової сировини</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02" w:right="75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w:t>
            </w:r>
          </w:p>
        </w:tc>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rHeight w:val="333" w:hRule="atLeast"/>
          <w:tblHeader w:val="0"/>
        </w:trPr>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Разом за змістовим модулем 2</w:t>
            </w:r>
            <w:r w:rsidDel="00000000" w:rsidR="00000000" w:rsidRPr="00000000">
              <w:rPr>
                <w:rtl w:val="0"/>
              </w:rPr>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73</w:t>
            </w:r>
            <w:r w:rsidDel="00000000" w:rsidR="00000000" w:rsidRPr="00000000">
              <w:rPr>
                <w:rtl w:val="0"/>
              </w:rPr>
            </w:r>
          </w:p>
        </w:tc>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50</w:t>
            </w:r>
            <w:r w:rsidDel="00000000" w:rsidR="00000000" w:rsidRPr="00000000">
              <w:rPr>
                <w:rtl w:val="0"/>
              </w:rPr>
            </w:r>
          </w:p>
        </w:tc>
      </w:tr>
      <w:tr>
        <w:trPr>
          <w:cantSplit w:val="0"/>
          <w:trHeight w:val="70" w:hRule="atLeast"/>
          <w:tblHeader w:val="0"/>
        </w:trPr>
        <w:tc>
          <w:tcPr>
            <w:vAlign w:val="top"/>
          </w:tcPr>
          <w:p w:rsidR="00000000" w:rsidDel="00000000" w:rsidP="00000000" w:rsidRDefault="00000000" w:rsidRPr="00000000" w14:paraId="0000014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Arial" w:cs="Arial" w:eastAsia="Arial" w:hAnsi="Arial"/>
                <w:b w:val="1"/>
                <w:i w:val="0"/>
                <w:smallCaps w:val="0"/>
                <w:strike w:val="0"/>
                <w:color w:val="4f81bd"/>
                <w:sz w:val="22"/>
                <w:szCs w:val="22"/>
                <w:u w:val="none"/>
                <w:shd w:fill="auto" w:val="clear"/>
                <w:vertAlign w:val="baseline"/>
              </w:rPr>
            </w:pPr>
            <w:r w:rsidDel="00000000" w:rsidR="00000000" w:rsidRPr="00000000">
              <w:rPr>
                <w:rFonts w:ascii="Arial" w:cs="Arial" w:eastAsia="Arial" w:hAnsi="Arial"/>
                <w:b w:val="1"/>
                <w:i w:val="0"/>
                <w:smallCaps w:val="0"/>
                <w:strike w:val="0"/>
                <w:color w:val="4f81bd"/>
                <w:sz w:val="22"/>
                <w:szCs w:val="22"/>
                <w:u w:val="none"/>
                <w:shd w:fill="auto" w:val="clear"/>
                <w:vertAlign w:val="baseline"/>
                <w:rtl w:val="0"/>
              </w:rPr>
              <w:t xml:space="preserve">Усього </w:t>
            </w:r>
          </w:p>
        </w:tc>
        <w:tc>
          <w:tcPr>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180</w:t>
            </w:r>
            <w:r w:rsidDel="00000000" w:rsidR="00000000" w:rsidRPr="00000000">
              <w:rPr>
                <w:rtl w:val="0"/>
              </w:rPr>
            </w:r>
          </w:p>
        </w:tc>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120</w:t>
            </w:r>
            <w:r w:rsidDel="00000000" w:rsidR="00000000" w:rsidRPr="00000000">
              <w:rPr>
                <w:rtl w:val="0"/>
              </w:rPr>
            </w:r>
          </w:p>
        </w:tc>
      </w:tr>
    </w:tbl>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 ЛАБОРАТОРНИХ ЗАНЯТЬ</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0206.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50"/>
        <w:gridCol w:w="7655"/>
        <w:gridCol w:w="992"/>
        <w:tblGridChange w:id="0">
          <w:tblGrid>
            <w:gridCol w:w="709"/>
            <w:gridCol w:w="850"/>
            <w:gridCol w:w="7655"/>
            <w:gridCol w:w="992"/>
          </w:tblGrid>
        </w:tblGridChange>
      </w:tblGrid>
      <w:tr>
        <w:trPr>
          <w:cantSplit w:val="0"/>
          <w:tblHeader w:val="0"/>
        </w:trPr>
        <w:tc>
          <w:tcP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top"/>
          </w:tcPr>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blHeader w:val="0"/>
        </w:trPr>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закони та поняття хімії. Хімічний зв’язок.</w:t>
            </w:r>
          </w:p>
        </w:tc>
        <w:tc>
          <w:tcPr>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59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Швидкість хімічних реакцій та її залежність від температури та концентрації. Хімічна рівновага та її залежність від зовнішніх факторів.</w:t>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Окислювально-відновні реакції.</w:t>
            </w:r>
          </w:p>
        </w:tc>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Електролітична дисоціація. Розчини.</w:t>
            </w:r>
          </w:p>
        </w:tc>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властивості металів та неметалів. Хімічні особливості використання хімічних сполук в харчових технологіях</w:t>
            </w: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8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класи неорганічних сполук. Хімічна поведінка різних сполук в харчових процесах.</w:t>
            </w:r>
          </w:p>
        </w:tc>
        <w:tc>
          <w:tcPr>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Окислювально-відновні реакції.</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Ступінь окислення. Загальні поняття про окисно-відновні процеси. Окислювачі і відновники, які використовуються в харчових технологіях.</w:t>
            </w:r>
          </w:p>
        </w:tc>
        <w:tc>
          <w:tcP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властивості металів та неметалів. Протікання хімічних процесів в харчових технологіях з участю металів.</w:t>
            </w:r>
          </w:p>
        </w:tc>
        <w:tc>
          <w:tcPr>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w:t>
            </w:r>
          </w:p>
        </w:tc>
        <w:tc>
          <w:tcPr>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Біогенні макро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мікроелементи. р-елементи ІІІ- VII груп та їх</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сполуки. Їх роль в живих організмах, продуктах харчування. Їх застосування  в технологіях переробки та консервування харчової сировини.</w:t>
            </w:r>
          </w:p>
        </w:tc>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s-елементи І, ІІ</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груп та їх сполуки Біогенні метали побічних підгруп (d- елементи) та їх сполуки. Біологічна дія та перетворення в різних  системах і технологічних процесах. Їх застосування  в технологіях переробки та консервування харчової сировини</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vAlign w:val="top"/>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20</w:t>
            </w:r>
            <w:r w:rsidDel="00000000" w:rsidR="00000000" w:rsidRPr="00000000">
              <w:rPr>
                <w:rtl w:val="0"/>
              </w:rPr>
            </w:r>
          </w:p>
        </w:tc>
      </w:tr>
    </w:tbl>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ЗАВДАННЯ ДЛЯ САМОСТІЙНОЇ РОБОТИ</w:t>
      </w: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5"/>
        <w:tblW w:w="10206.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9"/>
        <w:gridCol w:w="850"/>
        <w:gridCol w:w="7655"/>
        <w:gridCol w:w="992"/>
        <w:tblGridChange w:id="0">
          <w:tblGrid>
            <w:gridCol w:w="709"/>
            <w:gridCol w:w="850"/>
            <w:gridCol w:w="7655"/>
            <w:gridCol w:w="992"/>
          </w:tblGrid>
        </w:tblGridChange>
      </w:tblGrid>
      <w:tr>
        <w:trPr>
          <w:cantSplit w:val="0"/>
          <w:tblHeader w:val="0"/>
        </w:trPr>
        <w:tc>
          <w:tcPr>
            <w:vAlign w:val="top"/>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з/п</w:t>
            </w:r>
          </w:p>
        </w:tc>
        <w:tc>
          <w:tcP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теми</w:t>
            </w:r>
          </w:p>
        </w:tc>
        <w:tc>
          <w:tcPr>
            <w:vAlign w:val="top"/>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Назва теми</w:t>
            </w:r>
          </w:p>
        </w:tc>
        <w:tc>
          <w:tcP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Кількість</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годин</w:t>
            </w:r>
          </w:p>
        </w:tc>
      </w:tr>
      <w:tr>
        <w:trPr>
          <w:cantSplit w:val="0"/>
          <w:tblHeader w:val="0"/>
        </w:trPr>
        <w:tc>
          <w:tcPr>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Введення в хімію. Історія розвитку хімії. Роль хімії харчовій промисловості</w:t>
            </w:r>
          </w:p>
        </w:tc>
        <w:tc>
          <w:tcP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закони та поняття хімії. Хімічний зв’язок.</w:t>
            </w:r>
          </w:p>
        </w:tc>
        <w:tc>
          <w:tcPr>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593"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Швидкість хімічних реакцій та її залежність від температури та концентрації. Хімічна рівновага та її залежність від зовнішніх факторів. Способи збільшення виходу продукції в технологіях харчової переробки.</w:t>
            </w:r>
          </w:p>
        </w:tc>
        <w:tc>
          <w:tcPr>
            <w:vAlign w:val="top"/>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Окислювально-відновні реакції в харчових процесах та технологічних схемах.</w:t>
            </w:r>
          </w:p>
        </w:tc>
        <w:tc>
          <w:tcPr>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Електролітична дисоціація. Розчини. Роль процесів гідролізу в харчових технолгіях</w:t>
            </w:r>
          </w:p>
        </w:tc>
        <w:tc>
          <w:tcPr>
            <w:vAlign w:val="top"/>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Загальні властивості металів та неметалів. Хімічна поведінка різних сполук в харчових процесах.</w:t>
            </w:r>
          </w:p>
        </w:tc>
        <w:tc>
          <w:tcPr>
            <w:vAlign w:val="top"/>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68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Біогенні макро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мікроелементи. р-елементи ІІІ- VII груп та їх</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сполуки. Їх роль в живих організмах, продуктах харчування. Їх застосування  в технологіях переробки та консервування харчової сировини</w:t>
            </w:r>
          </w:p>
        </w:tc>
        <w:tc>
          <w:tcPr>
            <w:vAlign w:val="top"/>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top"/>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s-елементи І, ІІ</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груп та їх сполуки Біогенні метали побічних підгруп (d- елементи) та їх сполуки. Біологічна дія та перетворення в різних  системах і технологічних процесах. Їх застосування  в технологіях переробки та консервування харчової сировини</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Усього</w:t>
            </w:r>
            <w:r w:rsidDel="00000000" w:rsidR="00000000" w:rsidRPr="00000000">
              <w:rPr>
                <w:rtl w:val="0"/>
              </w:rPr>
            </w:r>
          </w:p>
        </w:tc>
        <w:tc>
          <w:tcPr>
            <w:vAlign w:val="top"/>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120</w:t>
            </w:r>
            <w:r w:rsidDel="00000000" w:rsidR="00000000" w:rsidRPr="00000000">
              <w:rPr>
                <w:rtl w:val="0"/>
              </w:rPr>
            </w:r>
          </w:p>
        </w:tc>
      </w:tr>
    </w:tbl>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МЕТОДИ КОНТРОЛЮ</w:t>
      </w: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12"/>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e30l8jboxxyz" w:id="1"/>
      <w:bookmarkEnd w:id="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 процесі оцінювання навчальних досягнень студентів з курсу «Хімія» застосовуються такі методи:</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379"/>
          <w:tab w:val="left" w:leader="none" w:pos="3473"/>
          <w:tab w:val="left" w:leader="none" w:pos="5163"/>
          <w:tab w:val="left" w:leader="none" w:pos="7145"/>
          <w:tab w:val="left" w:leader="none" w:pos="8911"/>
        </w:tabs>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усного контролю</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індивідуальне опитування, фронтальне опитування, співбесіда, захист індивідуального завдання, екзамен;</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письмового 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письмове тестування, модульна контрольна робота;</w:t>
      </w:r>
    </w:p>
    <w:p w:rsidR="00000000" w:rsidDel="00000000" w:rsidP="00000000" w:rsidRDefault="00000000" w:rsidRPr="00000000" w14:paraId="000001C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методи самоконтролю: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самооцінка, самоаналіз</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bookmarkStart w:colFirst="0" w:colLast="0" w:name="_heading=h.ytoe932jdjbr" w:id="2"/>
      <w:bookmarkEnd w:id="2"/>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СХЕМА НАРАХУВАННЯ БАЛІВ</w:t>
      </w:r>
      <w:r w:rsidDel="00000000" w:rsidR="00000000" w:rsidRPr="00000000">
        <w:rPr>
          <w:rtl w:val="0"/>
        </w:rPr>
      </w:r>
    </w:p>
    <w:tbl>
      <w:tblPr>
        <w:tblStyle w:val="Table6"/>
        <w:tblW w:w="1012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88"/>
        <w:gridCol w:w="237"/>
        <w:gridCol w:w="395"/>
        <w:gridCol w:w="403"/>
        <w:gridCol w:w="338"/>
        <w:gridCol w:w="405"/>
        <w:gridCol w:w="431"/>
        <w:gridCol w:w="395"/>
        <w:gridCol w:w="530"/>
        <w:gridCol w:w="462"/>
        <w:gridCol w:w="1144"/>
        <w:gridCol w:w="794"/>
        <w:tblGridChange w:id="0">
          <w:tblGrid>
            <w:gridCol w:w="4588"/>
            <w:gridCol w:w="237"/>
            <w:gridCol w:w="395"/>
            <w:gridCol w:w="403"/>
            <w:gridCol w:w="338"/>
            <w:gridCol w:w="405"/>
            <w:gridCol w:w="431"/>
            <w:gridCol w:w="395"/>
            <w:gridCol w:w="530"/>
            <w:gridCol w:w="462"/>
            <w:gridCol w:w="1144"/>
            <w:gridCol w:w="794"/>
          </w:tblGrid>
        </w:tblGridChange>
      </w:tblGrid>
      <w:tr>
        <w:trPr>
          <w:cantSplit w:val="1"/>
          <w:trHeight w:val="375" w:hRule="atLeast"/>
          <w:tblHeader w:val="0"/>
        </w:trPr>
        <w:tc>
          <w:tcPr>
            <w:vMerge w:val="restart"/>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Кількість балів</w:t>
            </w: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Теми</w:t>
            </w:r>
            <w:r w:rsidDel="00000000" w:rsidR="00000000" w:rsidRPr="00000000">
              <w:rPr>
                <w:rtl w:val="0"/>
              </w:rPr>
            </w:r>
          </w:p>
        </w:tc>
        <w:tc>
          <w:tcPr>
            <w:gridSpan w:val="9"/>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Ι</w:t>
            </w:r>
            <w:r w:rsidDel="00000000" w:rsidR="00000000" w:rsidRPr="00000000">
              <w:rPr>
                <w:rtl w:val="0"/>
              </w:rPr>
            </w:r>
          </w:p>
        </w:tc>
        <w:tc>
          <w:tcPr>
            <w:gridSpan w:val="2"/>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Змістовий модуль ΙΙ</w:t>
            </w:r>
            <w:r w:rsidDel="00000000" w:rsidR="00000000" w:rsidRPr="00000000">
              <w:rPr>
                <w:rtl w:val="0"/>
              </w:rPr>
            </w:r>
          </w:p>
        </w:tc>
      </w:tr>
      <w:tr>
        <w:trPr>
          <w:cantSplit w:val="1"/>
          <w:trHeight w:val="369" w:hRule="atLeast"/>
          <w:tblHeader w:val="0"/>
        </w:trPr>
        <w:tc>
          <w:tcPr>
            <w:vMerge w:val="continue"/>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w:t>
            </w:r>
            <w:r w:rsidDel="00000000" w:rsidR="00000000" w:rsidRPr="00000000">
              <w:rPr>
                <w:rtl w:val="0"/>
              </w:rPr>
            </w:r>
          </w:p>
        </w:tc>
      </w:tr>
      <w:tr>
        <w:trPr>
          <w:cantSplit w:val="0"/>
          <w:tblHeader w:val="0"/>
        </w:trPr>
        <w:tc>
          <w:tcP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Практичні заняття (6х3 б)</w:t>
            </w:r>
          </w:p>
        </w:tc>
        <w:tc>
          <w:tcP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r>
      <w:tr>
        <w:trPr>
          <w:cantSplit w:val="0"/>
          <w:tblHeader w:val="0"/>
        </w:trPr>
        <w:tc>
          <w:tcP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Самостійна робота (42 б)</w:t>
            </w:r>
          </w:p>
        </w:tc>
        <w:tc>
          <w:tcP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c>
          <w:tcP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w:t>
            </w:r>
          </w:p>
        </w:tc>
      </w:tr>
      <w:tr>
        <w:trPr>
          <w:cantSplit w:val="0"/>
          <w:tblHeader w:val="0"/>
        </w:trPr>
        <w:tc>
          <w:tcP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Поточний модульний контроль (30б)</w:t>
            </w:r>
          </w:p>
        </w:tc>
        <w:tc>
          <w:tcPr>
            <w:gridSpan w:val="5"/>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gridSpan w:val="4"/>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gridSpan w:val="2"/>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Підсумковий  контроль (захист ІДЗ) (10б)</w:t>
            </w:r>
          </w:p>
        </w:tc>
        <w:tc>
          <w:tcPr>
            <w:gridSpan w:val="11"/>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Підсумковий  контроль (екзамен) (30 б)</w:t>
            </w:r>
          </w:p>
        </w:tc>
        <w:tc>
          <w:tcPr>
            <w:gridSpan w:val="11"/>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 </w:t>
            </w:r>
          </w:p>
        </w:tc>
      </w:tr>
    </w:tbl>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Шкала оцінювання: національна та ЄКTС</w:t>
      </w:r>
      <w:r w:rsidDel="00000000" w:rsidR="00000000" w:rsidRPr="00000000">
        <w:rPr>
          <w:rtl w:val="0"/>
        </w:rPr>
      </w:r>
    </w:p>
    <w:p w:rsidR="00000000" w:rsidDel="00000000" w:rsidP="00000000" w:rsidRDefault="00000000" w:rsidRPr="00000000" w14:paraId="0000021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1014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53"/>
        <w:gridCol w:w="4253"/>
        <w:gridCol w:w="1984"/>
        <w:gridCol w:w="2052"/>
        <w:tblGridChange w:id="0">
          <w:tblGrid>
            <w:gridCol w:w="1853"/>
            <w:gridCol w:w="4253"/>
            <w:gridCol w:w="1984"/>
            <w:gridCol w:w="2052"/>
          </w:tblGrid>
        </w:tblGridChange>
      </w:tblGrid>
      <w:tr>
        <w:trPr>
          <w:cantSplit w:val="1"/>
          <w:trHeight w:val="20" w:hRule="atLeast"/>
          <w:tblHeader w:val="0"/>
        </w:trPr>
        <w:tc>
          <w:tcPr>
            <w:vMerge w:val="restart"/>
            <w:vAlign w:val="cente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18"/>
              </w:tabs>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EКTС</w:t>
            </w:r>
          </w:p>
        </w:tc>
        <w:tc>
          <w:tcPr>
            <w:vMerge w:val="restart"/>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шкалою</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академії</w:t>
            </w:r>
            <w:r w:rsidDel="00000000" w:rsidR="00000000" w:rsidRPr="00000000">
              <w:rPr>
                <w:rtl w:val="0"/>
              </w:rPr>
            </w:r>
          </w:p>
        </w:tc>
        <w:tc>
          <w:tcPr>
            <w:gridSpan w:val="2"/>
            <w:vAlign w:val="center"/>
          </w:tcPr>
          <w:p w:rsidR="00000000" w:rsidDel="00000000" w:rsidP="00000000" w:rsidRDefault="00000000" w:rsidRPr="00000000" w14:paraId="00000223">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 національною шкалою</w:t>
            </w:r>
          </w:p>
        </w:tc>
      </w:tr>
      <w:tr>
        <w:trPr>
          <w:cantSplit w:val="1"/>
          <w:trHeight w:val="20" w:hRule="atLeast"/>
          <w:tblHeader w:val="0"/>
        </w:trPr>
        <w:tc>
          <w:tcPr>
            <w:vMerge w:val="continue"/>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227">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Екзамен</w:t>
            </w:r>
          </w:p>
        </w:tc>
        <w:tc>
          <w:tcPr>
            <w:vAlign w:val="center"/>
          </w:tcPr>
          <w:p w:rsidR="00000000" w:rsidDel="00000000" w:rsidP="00000000" w:rsidRDefault="00000000" w:rsidRPr="00000000" w14:paraId="00000228">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Залік</w:t>
            </w:r>
          </w:p>
        </w:tc>
      </w:tr>
      <w:tr>
        <w:trPr>
          <w:cantSplit w:val="1"/>
          <w:trHeight w:val="20" w:hRule="atLeast"/>
          <w:tblHeader w:val="0"/>
        </w:trPr>
        <w:tc>
          <w:tcPr>
            <w:vAlign w:val="cente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r>
          </w:p>
        </w:tc>
        <w:tc>
          <w:tcPr>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90–100</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(відмінно)</w:t>
            </w:r>
          </w:p>
        </w:tc>
        <w:tc>
          <w:tcPr>
            <w:vAlign w:val="center"/>
          </w:tcPr>
          <w:p w:rsidR="00000000" w:rsidDel="00000000" w:rsidP="00000000" w:rsidRDefault="00000000" w:rsidRPr="00000000" w14:paraId="0000022C">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593"/>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(відмінно)</w:t>
            </w:r>
          </w:p>
        </w:tc>
        <w:tc>
          <w:tcPr>
            <w:vMerge w:val="restart"/>
            <w:vAlign w:val="center"/>
          </w:tcPr>
          <w:p w:rsidR="00000000" w:rsidDel="00000000" w:rsidP="00000000" w:rsidRDefault="00000000" w:rsidRPr="00000000" w14:paraId="0000022D">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68"/>
              </w:tabs>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Зараховано</w:t>
            </w:r>
          </w:p>
        </w:tc>
      </w:tr>
      <w:tr>
        <w:trPr>
          <w:cantSplit w:val="1"/>
          <w:trHeight w:val="20" w:hRule="atLeast"/>
          <w:tblHeader w:val="0"/>
        </w:trPr>
        <w:tc>
          <w:tcPr>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r>
          </w:p>
        </w:tc>
        <w:tc>
          <w:tcPr>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82–89</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(дуже добре)</w:t>
            </w:r>
          </w:p>
        </w:tc>
        <w:tc>
          <w:tcPr>
            <w:vMerge w:val="restart"/>
            <w:vAlign w:val="center"/>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(добре)</w:t>
            </w:r>
          </w:p>
        </w:tc>
        <w:tc>
          <w:tcPr>
            <w:vMerge w:val="continue"/>
            <w:vAlign w:val="center"/>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r>
          </w:p>
        </w:tc>
        <w:tc>
          <w:tcPr>
            <w:vAlign w:val="center"/>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75–81</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(добре)</w:t>
            </w:r>
          </w:p>
        </w:tc>
        <w:tc>
          <w:tcPr>
            <w:vMerge w:val="continue"/>
            <w:vAlign w:val="cente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w:t>
            </w:r>
          </w:p>
        </w:tc>
        <w:tc>
          <w:tcPr>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64–74</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(задовільно) </w:t>
            </w:r>
          </w:p>
        </w:tc>
        <w:tc>
          <w:tcPr>
            <w:vMerge w:val="restart"/>
            <w:vAlign w:val="center"/>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(задовільно)</w:t>
            </w:r>
          </w:p>
        </w:tc>
        <w:tc>
          <w:tcPr>
            <w:vMerge w:val="continue"/>
            <w:vAlign w:val="center"/>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w:t>
            </w:r>
          </w:p>
        </w:tc>
        <w:tc>
          <w:tcPr>
            <w:vAlign w:val="cente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60–63</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(достатньо)</w:t>
            </w:r>
          </w:p>
        </w:tc>
        <w:tc>
          <w:tcPr>
            <w:vMerge w:val="continue"/>
            <w:vAlign w:val="center"/>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20" w:hRule="atLeast"/>
          <w:tblHeader w:val="0"/>
        </w:trPr>
        <w:tc>
          <w:tcPr>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FX</w:t>
            </w:r>
          </w:p>
        </w:tc>
        <w:tc>
          <w:tcPr>
            <w:vAlign w:val="center"/>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35–59</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можливістю повторного складання)</w:t>
            </w:r>
          </w:p>
        </w:tc>
        <w:tc>
          <w:tcPr>
            <w:vMerge w:val="restart"/>
            <w:vAlign w:val="cente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(незадовільно)</w:t>
            </w:r>
          </w:p>
        </w:tc>
        <w:tc>
          <w:tcPr>
            <w:vMerge w:val="restart"/>
            <w:vAlign w:val="center"/>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 зараховано</w:t>
            </w:r>
          </w:p>
        </w:tc>
      </w:tr>
      <w:tr>
        <w:trPr>
          <w:cantSplit w:val="1"/>
          <w:trHeight w:val="20" w:hRule="atLeast"/>
          <w:tblHeader w:val="0"/>
        </w:trPr>
        <w:tc>
          <w:tcPr>
            <w:vAlign w:val="center"/>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w:t>
            </w:r>
          </w:p>
        </w:tc>
        <w:tc>
          <w:tcPr>
            <w:vAlign w:val="cente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1–34</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(незадовільно – з обов’язковим повторним курсом)</w:t>
            </w:r>
          </w:p>
        </w:tc>
        <w:tc>
          <w:tcPr>
            <w:vMerge w:val="continue"/>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ПЕРЕЛІК ПИТАНЬ ДО ЗАЛІКУ</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Для виконання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індивідуального завдання</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студент повинен зробити доповідь та презентацію на тему:</w:t>
      </w:r>
    </w:p>
    <w:p w:rsidR="00000000" w:rsidDel="00000000" w:rsidP="00000000" w:rsidRDefault="00000000" w:rsidRPr="00000000" w14:paraId="000002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Предмет хімії. Періодичний закон як наслідок електронної будови атома.</w:t>
      </w:r>
    </w:p>
    <w:p w:rsidR="00000000" w:rsidDel="00000000" w:rsidP="00000000" w:rsidRDefault="00000000" w:rsidRPr="00000000" w14:paraId="000002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Будова молекул. Хімічні молекули сполук, які використовубться в хімічних процесах.</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6"/>
        </w:tabs>
        <w:spacing w:after="120" w:before="64" w:line="240" w:lineRule="auto"/>
        <w:ind w:left="0" w:right="113" w:hanging="40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Комплексні сполуки. Використання ціих сполук в харчових технологіях (харчові добавки).</w:t>
      </w:r>
    </w:p>
    <w:p w:rsidR="00000000" w:rsidDel="00000000" w:rsidP="00000000" w:rsidRDefault="00000000" w:rsidRPr="00000000" w14:paraId="0000025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 w:val="left" w:leader="none" w:pos="1296"/>
        </w:tabs>
        <w:spacing w:after="0" w:before="0" w:line="240" w:lineRule="auto"/>
        <w:ind w:left="1295"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закономірності протікання хімічних реакцій. Методи збільшення виходу продуктів реакції в хімічних технологіях.</w:t>
      </w:r>
    </w:p>
    <w:p w:rsidR="00000000" w:rsidDel="00000000" w:rsidP="00000000" w:rsidRDefault="00000000" w:rsidRPr="00000000" w14:paraId="000002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характеристики розчинів неелектролітів.</w:t>
      </w:r>
    </w:p>
    <w:p w:rsidR="00000000" w:rsidDel="00000000" w:rsidP="00000000" w:rsidRDefault="00000000" w:rsidRPr="00000000" w14:paraId="000002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Основні характеристики розчинів електролітів</w:t>
      </w:r>
    </w:p>
    <w:p w:rsidR="00000000" w:rsidDel="00000000" w:rsidP="00000000" w:rsidRDefault="00000000" w:rsidRPr="00000000" w14:paraId="0000025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Теорія окисно-відновних реакцій. Речовини (оксиники, відновники), які використовують в хімічних технологіях.</w:t>
      </w:r>
    </w:p>
    <w:p w:rsidR="00000000" w:rsidDel="00000000" w:rsidP="00000000" w:rsidRDefault="00000000" w:rsidRPr="00000000" w14:paraId="0000025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елементів головної та побічної підгрупи І і ІІ груп ПС. Протікання хімічних процесів в харчових технологіях з участю металів.</w:t>
      </w:r>
    </w:p>
    <w:p w:rsidR="00000000" w:rsidDel="00000000" w:rsidP="00000000" w:rsidRDefault="00000000" w:rsidRPr="00000000" w14:paraId="000002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 w:val="left" w:leader="none" w:pos="1296"/>
        </w:tabs>
        <w:spacing w:after="0" w:before="0" w:line="240" w:lineRule="auto"/>
        <w:ind w:left="1295"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елементів  ІІІ груп ПС. Протікання хімічних процесів в харчових технологіях з участю металів.</w:t>
      </w:r>
    </w:p>
    <w:p w:rsidR="00000000" w:rsidDel="00000000" w:rsidP="00000000" w:rsidRDefault="00000000" w:rsidRPr="00000000" w14:paraId="000002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елементів  ІV груп ПС.</w:t>
      </w:r>
    </w:p>
    <w:p w:rsidR="00000000" w:rsidDel="00000000" w:rsidP="00000000" w:rsidRDefault="00000000" w:rsidRPr="00000000" w14:paraId="0000025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d-елементів  VI груп ПС.</w:t>
      </w:r>
    </w:p>
    <w:p w:rsidR="00000000" w:rsidDel="00000000" w:rsidP="00000000" w:rsidRDefault="00000000" w:rsidRPr="00000000" w14:paraId="0000025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d-елементів  VІІ груп ПС.</w:t>
      </w:r>
    </w:p>
    <w:p w:rsidR="00000000" w:rsidDel="00000000" w:rsidP="00000000" w:rsidRDefault="00000000" w:rsidRPr="00000000" w14:paraId="000002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d-елементів  VІІІ груп ПС.</w:t>
      </w:r>
    </w:p>
    <w:p w:rsidR="00000000" w:rsidDel="00000000" w:rsidP="00000000" w:rsidRDefault="00000000" w:rsidRPr="00000000" w14:paraId="000002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елементів  V груп ПС.Характеристика елементів  VI груп ПС.</w:t>
      </w:r>
    </w:p>
    <w:p w:rsidR="00000000" w:rsidDel="00000000" w:rsidP="00000000" w:rsidRDefault="00000000" w:rsidRPr="00000000" w14:paraId="0000025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Характеристика елементів  VII груп ПС.</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70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Біогенні макро</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мікроелементи. р-елементи ІІІ- VII груп та їх</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сполуки. Їх роль в живих організмах, продуктах харчування. Їх застосування  в технологіях переробки та консервування харчової сировини.</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903"/>
        </w:tabs>
        <w:spacing w:after="120" w:before="0" w:line="240" w:lineRule="auto"/>
        <w:ind w:left="700" w:right="107"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16.s-елементи І, ІІ</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груп та їх сполуки Біогенні метали побічних підгруп (d- елементи) та їх сполуки. Біологічна дія та перетворення в різних  системах і технологічних процесах. Їх застосування  в технологіях переробки та консервування харчової сировини</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hanging="403"/>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1"/>
          <w:strike w:val="0"/>
          <w:color w:val="000000"/>
          <w:sz w:val="22"/>
          <w:szCs w:val="22"/>
          <w:u w:val="none"/>
          <w:shd w:fill="auto" w:val="clear"/>
          <w:vertAlign w:val="baseline"/>
          <w:rtl w:val="0"/>
        </w:rPr>
        <w:t xml:space="preserve">ЛІТЕРАТУРА</w:t>
      </w: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1113"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3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Основна</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8"/>
          <w:tab w:val="left" w:leader="none" w:pos="1236"/>
        </w:tabs>
        <w:spacing w:after="0" w:before="0" w:line="240" w:lineRule="auto"/>
        <w:ind w:left="112" w:right="11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28"/>
          <w:tab w:val="left" w:leader="none" w:pos="1236"/>
        </w:tabs>
        <w:spacing w:after="0" w:before="0" w:line="240" w:lineRule="auto"/>
        <w:ind w:left="0" w:right="111" w:firstLine="28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Деркач  Ф. А.  Практикум  з  неорганічної  хімії:  навчальний  посібник  для  хімічних  спец. університетів. Львів.:видавництво ЛДУ‚ 1986. 188 с.</w:t>
      </w:r>
    </w:p>
    <w:p w:rsidR="00000000" w:rsidDel="00000000" w:rsidP="00000000" w:rsidRDefault="00000000" w:rsidRPr="00000000" w14:paraId="0000026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28"/>
          <w:tab w:val="left" w:leader="none" w:pos="1236"/>
        </w:tabs>
        <w:spacing w:after="0" w:before="0" w:line="240" w:lineRule="auto"/>
        <w:ind w:left="0" w:right="0" w:firstLine="28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Боєчко Ф. Ф. Біологічна хімія:підручник. Київ: Вища школа, 1985. 345 с.</w:t>
      </w:r>
    </w:p>
    <w:p w:rsidR="00000000" w:rsidDel="00000000" w:rsidP="00000000" w:rsidRDefault="00000000" w:rsidRPr="00000000" w14:paraId="0000026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28"/>
          <w:tab w:val="left" w:leader="none" w:pos="1236"/>
        </w:tabs>
        <w:spacing w:after="0" w:before="0" w:line="240" w:lineRule="auto"/>
        <w:ind w:left="0" w:right="0" w:firstLine="28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Гонський Я. І., Максимчук Т. П. Біохімія людини: підручник.  Т1., 2002.  750 с.</w:t>
      </w:r>
    </w:p>
    <w:p w:rsidR="00000000" w:rsidDel="00000000" w:rsidP="00000000" w:rsidRDefault="00000000" w:rsidRPr="00000000" w14:paraId="0000026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28"/>
          <w:tab w:val="left" w:leader="none" w:pos="1236"/>
        </w:tabs>
        <w:spacing w:after="0" w:before="0" w:line="240" w:lineRule="auto"/>
        <w:ind w:left="0" w:right="0" w:firstLine="28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Губський Ю. І. Біологічна хімія: підручник для ВНЗ. Т.1., 2002.  508 с.</w:t>
      </w:r>
    </w:p>
    <w:p w:rsidR="00000000" w:rsidDel="00000000" w:rsidP="00000000" w:rsidRDefault="00000000" w:rsidRPr="00000000" w14:paraId="000002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0" w:right="0" w:firstLine="28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Капрельянц Л.В., Іоргачова К.Г. Функціональні продукти. – Одеса: Друк,</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2003. – 312 с.</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5" w:line="240" w:lineRule="auto"/>
        <w:ind w:left="0" w:right="0" w:firstLine="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1318" w:right="105"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Додаткова</w:t>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10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Неділько, С. А. Загальна й неорганічна хімія: задачі та вправи:навч. посіб. для студ. хім. спец. ВУЗів. Київ: Либідь, 2001.- 400с.</w:t>
      </w:r>
    </w:p>
    <w:p w:rsidR="00000000" w:rsidDel="00000000" w:rsidP="00000000" w:rsidRDefault="00000000" w:rsidRPr="00000000" w14:paraId="0000027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567"/>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Карнаухов О. І. Біонеорганічна хімія: навчальний посібник.  Київ: Вища школа‚ 1992. 278 с.</w:t>
      </w:r>
    </w:p>
    <w:p w:rsidR="00000000" w:rsidDel="00000000" w:rsidP="00000000" w:rsidRDefault="00000000" w:rsidRPr="00000000" w14:paraId="0000027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567"/>
          <w:tab w:val="left" w:leader="none" w:pos="1296"/>
        </w:tabs>
        <w:spacing w:after="0" w:before="0" w:line="240" w:lineRule="auto"/>
        <w:ind w:left="0" w:right="11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Посібник  по  підготовці  лабораторних  і  семінарських  занять  з  хімії  для  студентів нехімічних спеціальностей. Київ: Фотосоціоцентр, 2000. 144 с.</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3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4.Смоляр В.І. Фізіологія та гігієна харчування. – К.: Здоровя, 2000.-336 с.</w:t>
      </w:r>
    </w:p>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75"/>
        </w:tabs>
        <w:spacing w:after="0" w:before="0" w:line="23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5.Основи фізіології харчування / Н.В. Дуденко, Л.Ф. Павлоцька, В.С. Артеменко, М.В. Кривоносов, І.С. Кратенко: Підручник. – Х.: Торнадо, 2003. – 407 с.</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20"/>
        </w:tabs>
        <w:spacing w:after="0" w:before="0" w:line="240" w:lineRule="auto"/>
        <w:ind w:left="4136"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Ресурси</w:t>
      </w: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5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Навчально-інформаційний портал ТДАТУ</w:t>
      </w:r>
      <w:r w:rsidDel="00000000" w:rsidR="00000000" w:rsidRPr="00000000">
        <w:rPr>
          <w:rFonts w:ascii="Arial" w:cs="Arial" w:eastAsia="Arial" w:hAnsi="Arial"/>
          <w:b w:val="0"/>
          <w:i w:val="0"/>
          <w:smallCaps w:val="0"/>
          <w:strike w:val="0"/>
          <w:color w:val="0000ff"/>
          <w:sz w:val="22"/>
          <w:szCs w:val="22"/>
          <w:u w:val="none"/>
          <w:shd w:fill="auto" w:val="clear"/>
          <w:vertAlign w:val="baseline"/>
          <w:rtl w:val="0"/>
        </w:rPr>
        <w:t xml:space="preserve"> </w:t>
      </w:r>
      <w:hyperlink r:id="rId14">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http://nip.tsatu.edu.ua</w:t>
        </w:r>
      </w:hyperlink>
      <w:r w:rsidDel="00000000" w:rsidR="00000000" w:rsidRPr="00000000">
        <w:rPr>
          <w:rtl w:val="0"/>
        </w:rPr>
      </w:r>
    </w:p>
    <w:p w:rsidR="00000000" w:rsidDel="00000000" w:rsidP="00000000" w:rsidRDefault="00000000" w:rsidRPr="00000000" w14:paraId="0000027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5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Наукова бібліотека ТДАТУ</w:t>
      </w:r>
      <w:r w:rsidDel="00000000" w:rsidR="00000000" w:rsidRPr="00000000">
        <w:rPr>
          <w:rFonts w:ascii="Arial" w:cs="Arial" w:eastAsia="Arial" w:hAnsi="Arial"/>
          <w:b w:val="0"/>
          <w:i w:val="0"/>
          <w:smallCaps w:val="0"/>
          <w:strike w:val="0"/>
          <w:color w:val="0000ff"/>
          <w:sz w:val="22"/>
          <w:szCs w:val="22"/>
          <w:u w:val="none"/>
          <w:shd w:fill="auto" w:val="clear"/>
          <w:vertAlign w:val="baseline"/>
          <w:rtl w:val="0"/>
        </w:rPr>
        <w:t xml:space="preserve"> </w:t>
      </w:r>
      <w:hyperlink r:id="rId15">
        <w:r w:rsidDel="00000000" w:rsidR="00000000" w:rsidRPr="00000000">
          <w:rPr>
            <w:rFonts w:ascii="Arial" w:cs="Arial" w:eastAsia="Arial" w:hAnsi="Arial"/>
            <w:b w:val="0"/>
            <w:i w:val="0"/>
            <w:smallCaps w:val="0"/>
            <w:strike w:val="0"/>
            <w:color w:val="0000ff"/>
            <w:sz w:val="22"/>
            <w:szCs w:val="22"/>
            <w:u w:val="single"/>
            <w:shd w:fill="auto" w:val="clear"/>
            <w:vertAlign w:val="baseline"/>
            <w:rtl w:val="0"/>
          </w:rPr>
          <w:t xml:space="preserve">http://www.tsatu.edu.ua/biblioteka/</w:t>
        </w:r>
      </w:hyperlink>
      <w:r w:rsidDel="00000000" w:rsidR="00000000" w:rsidRPr="00000000">
        <w:rPr>
          <w:rtl w:val="0"/>
        </w:rPr>
      </w:r>
    </w:p>
    <w:p w:rsidR="00000000" w:rsidDel="00000000" w:rsidP="00000000" w:rsidRDefault="00000000" w:rsidRPr="00000000" w14:paraId="000002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5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Методичний кабінет кафедри хімії та біотехнологій.</w:t>
      </w:r>
    </w:p>
    <w:p w:rsidR="00000000" w:rsidDel="00000000" w:rsidP="00000000" w:rsidRDefault="00000000" w:rsidRPr="00000000" w14:paraId="0000027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547"/>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Сайт кафедри хімії та біотехнологій</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 w:val="left" w:leader="none" w:pos="1236"/>
        </w:tabs>
        <w:spacing w:after="0" w:before="0" w:line="240" w:lineRule="auto"/>
        <w:ind w:left="112" w:right="0" w:firstLine="172"/>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sectPr>
      <w:pgSz w:h="16840" w:w="11905" w:orient="portrait"/>
      <w:pgMar w:bottom="709" w:top="709" w:left="1100" w:right="709"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12" w:hanging="416"/>
      </w:pPr>
      <w:rPr>
        <w:rFonts w:ascii="Times New Roman" w:cs="Times New Roman" w:eastAsia="Times New Roman" w:hAnsi="Times New Roman"/>
        <w:sz w:val="24"/>
        <w:szCs w:val="24"/>
        <w:vertAlign w:val="baseline"/>
      </w:rPr>
    </w:lvl>
    <w:lvl w:ilvl="1">
      <w:start w:val="1"/>
      <w:numFmt w:val="bullet"/>
      <w:lvlText w:val="•"/>
      <w:lvlJc w:val="left"/>
      <w:pPr>
        <w:ind w:left="1143" w:hanging="416.0000000000001"/>
      </w:pPr>
      <w:rPr>
        <w:vertAlign w:val="baseline"/>
      </w:rPr>
    </w:lvl>
    <w:lvl w:ilvl="2">
      <w:start w:val="1"/>
      <w:numFmt w:val="bullet"/>
      <w:lvlText w:val="•"/>
      <w:lvlJc w:val="left"/>
      <w:pPr>
        <w:ind w:left="2174" w:hanging="416"/>
      </w:pPr>
      <w:rPr>
        <w:vertAlign w:val="baseline"/>
      </w:rPr>
    </w:lvl>
    <w:lvl w:ilvl="3">
      <w:start w:val="1"/>
      <w:numFmt w:val="bullet"/>
      <w:lvlText w:val="•"/>
      <w:lvlJc w:val="left"/>
      <w:pPr>
        <w:ind w:left="3206" w:hanging="416"/>
      </w:pPr>
      <w:rPr>
        <w:vertAlign w:val="baseline"/>
      </w:rPr>
    </w:lvl>
    <w:lvl w:ilvl="4">
      <w:start w:val="1"/>
      <w:numFmt w:val="bullet"/>
      <w:lvlText w:val="•"/>
      <w:lvlJc w:val="left"/>
      <w:pPr>
        <w:ind w:left="4237" w:hanging="416.00000000000045"/>
      </w:pPr>
      <w:rPr>
        <w:vertAlign w:val="baseline"/>
      </w:rPr>
    </w:lvl>
    <w:lvl w:ilvl="5">
      <w:start w:val="1"/>
      <w:numFmt w:val="bullet"/>
      <w:lvlText w:val="•"/>
      <w:lvlJc w:val="left"/>
      <w:pPr>
        <w:ind w:left="5269" w:hanging="416"/>
      </w:pPr>
      <w:rPr>
        <w:vertAlign w:val="baseline"/>
      </w:rPr>
    </w:lvl>
    <w:lvl w:ilvl="6">
      <w:start w:val="1"/>
      <w:numFmt w:val="bullet"/>
      <w:lvlText w:val="•"/>
      <w:lvlJc w:val="left"/>
      <w:pPr>
        <w:ind w:left="6300" w:hanging="416"/>
      </w:pPr>
      <w:rPr>
        <w:vertAlign w:val="baseline"/>
      </w:rPr>
    </w:lvl>
    <w:lvl w:ilvl="7">
      <w:start w:val="1"/>
      <w:numFmt w:val="bullet"/>
      <w:lvlText w:val="•"/>
      <w:lvlJc w:val="left"/>
      <w:pPr>
        <w:ind w:left="7332" w:hanging="416"/>
      </w:pPr>
      <w:rPr>
        <w:vertAlign w:val="baseline"/>
      </w:rPr>
    </w:lvl>
    <w:lvl w:ilvl="8">
      <w:start w:val="1"/>
      <w:numFmt w:val="bullet"/>
      <w:lvlText w:val="•"/>
      <w:lvlJc w:val="left"/>
      <w:pPr>
        <w:ind w:left="8363" w:hanging="416.0000000000009"/>
      </w:pPr>
      <w:rPr>
        <w:vertAlign w:val="baseline"/>
      </w:rPr>
    </w:lvl>
  </w:abstractNum>
  <w:abstractNum w:abstractNumId="3">
    <w:lvl w:ilvl="0">
      <w:start w:val="1"/>
      <w:numFmt w:val="decimal"/>
      <w:lvlText w:val="%1."/>
      <w:lvlJc w:val="left"/>
      <w:pPr>
        <w:ind w:left="1113" w:hanging="404"/>
      </w:pPr>
      <w:rPr>
        <w:rFonts w:ascii="Times New Roman" w:cs="Times New Roman" w:eastAsia="Times New Roman" w:hAnsi="Times New Roman"/>
        <w:sz w:val="24"/>
        <w:szCs w:val="24"/>
        <w:vertAlign w:val="baseline"/>
      </w:rPr>
    </w:lvl>
    <w:lvl w:ilvl="1">
      <w:start w:val="1"/>
      <w:numFmt w:val="bullet"/>
      <w:lvlText w:val="•"/>
      <w:lvlJc w:val="left"/>
      <w:pPr>
        <w:ind w:left="4332" w:hanging="404"/>
      </w:pPr>
      <w:rPr>
        <w:vertAlign w:val="baseline"/>
      </w:rPr>
    </w:lvl>
    <w:lvl w:ilvl="2">
      <w:start w:val="1"/>
      <w:numFmt w:val="bullet"/>
      <w:lvlText w:val="•"/>
      <w:lvlJc w:val="left"/>
      <w:pPr>
        <w:ind w:left="4996" w:hanging="404"/>
      </w:pPr>
      <w:rPr>
        <w:vertAlign w:val="baseline"/>
      </w:rPr>
    </w:lvl>
    <w:lvl w:ilvl="3">
      <w:start w:val="1"/>
      <w:numFmt w:val="bullet"/>
      <w:lvlText w:val="•"/>
      <w:lvlJc w:val="left"/>
      <w:pPr>
        <w:ind w:left="5659" w:hanging="404"/>
      </w:pPr>
      <w:rPr>
        <w:vertAlign w:val="baseline"/>
      </w:rPr>
    </w:lvl>
    <w:lvl w:ilvl="4">
      <w:start w:val="1"/>
      <w:numFmt w:val="bullet"/>
      <w:lvlText w:val="•"/>
      <w:lvlJc w:val="left"/>
      <w:pPr>
        <w:ind w:left="6323" w:hanging="404"/>
      </w:pPr>
      <w:rPr>
        <w:vertAlign w:val="baseline"/>
      </w:rPr>
    </w:lvl>
    <w:lvl w:ilvl="5">
      <w:start w:val="1"/>
      <w:numFmt w:val="bullet"/>
      <w:lvlText w:val="•"/>
      <w:lvlJc w:val="left"/>
      <w:pPr>
        <w:ind w:left="6986" w:hanging="404"/>
      </w:pPr>
      <w:rPr>
        <w:vertAlign w:val="baseline"/>
      </w:rPr>
    </w:lvl>
    <w:lvl w:ilvl="6">
      <w:start w:val="1"/>
      <w:numFmt w:val="bullet"/>
      <w:lvlText w:val="•"/>
      <w:lvlJc w:val="left"/>
      <w:pPr>
        <w:ind w:left="7650" w:hanging="404"/>
      </w:pPr>
      <w:rPr>
        <w:vertAlign w:val="baseline"/>
      </w:rPr>
    </w:lvl>
    <w:lvl w:ilvl="7">
      <w:start w:val="1"/>
      <w:numFmt w:val="bullet"/>
      <w:lvlText w:val="•"/>
      <w:lvlJc w:val="left"/>
      <w:pPr>
        <w:ind w:left="8313" w:hanging="404"/>
      </w:pPr>
      <w:rPr>
        <w:vertAlign w:val="baseline"/>
      </w:rPr>
    </w:lvl>
    <w:lvl w:ilvl="8">
      <w:start w:val="1"/>
      <w:numFmt w:val="bullet"/>
      <w:lvlText w:val="•"/>
      <w:lvlJc w:val="left"/>
      <w:pPr>
        <w:ind w:left="8977" w:hanging="404"/>
      </w:pPr>
      <w:rPr>
        <w:vertAlign w:val="baseline"/>
      </w:rPr>
    </w:lvl>
  </w:abstractNum>
  <w:abstractNum w:abstractNumId="4">
    <w:lvl w:ilvl="0">
      <w:start w:val="1"/>
      <w:numFmt w:val="decimal"/>
      <w:lvlText w:val="%1."/>
      <w:lvlJc w:val="left"/>
      <w:pPr>
        <w:ind w:left="112" w:hanging="416"/>
      </w:pPr>
      <w:rPr>
        <w:rFonts w:ascii="Times New Roman" w:cs="Times New Roman" w:eastAsia="Times New Roman" w:hAnsi="Times New Roman"/>
        <w:sz w:val="24"/>
        <w:szCs w:val="24"/>
        <w:vertAlign w:val="baseline"/>
      </w:rPr>
    </w:lvl>
    <w:lvl w:ilvl="1">
      <w:start w:val="1"/>
      <w:numFmt w:val="bullet"/>
      <w:lvlText w:val="•"/>
      <w:lvlJc w:val="left"/>
      <w:pPr>
        <w:ind w:left="4200" w:hanging="416"/>
      </w:pPr>
      <w:rPr>
        <w:vertAlign w:val="baseline"/>
      </w:rPr>
    </w:lvl>
    <w:lvl w:ilvl="2">
      <w:start w:val="1"/>
      <w:numFmt w:val="bullet"/>
      <w:lvlText w:val="•"/>
      <w:lvlJc w:val="left"/>
      <w:pPr>
        <w:ind w:left="4892" w:hanging="416"/>
      </w:pPr>
      <w:rPr>
        <w:vertAlign w:val="baseline"/>
      </w:rPr>
    </w:lvl>
    <w:lvl w:ilvl="3">
      <w:start w:val="1"/>
      <w:numFmt w:val="bullet"/>
      <w:lvlText w:val="•"/>
      <w:lvlJc w:val="left"/>
      <w:pPr>
        <w:ind w:left="5583" w:hanging="416.0000000000009"/>
      </w:pPr>
      <w:rPr>
        <w:vertAlign w:val="baseline"/>
      </w:rPr>
    </w:lvl>
    <w:lvl w:ilvl="4">
      <w:start w:val="1"/>
      <w:numFmt w:val="bullet"/>
      <w:lvlText w:val="•"/>
      <w:lvlJc w:val="left"/>
      <w:pPr>
        <w:ind w:left="6275" w:hanging="416"/>
      </w:pPr>
      <w:rPr>
        <w:vertAlign w:val="baseline"/>
      </w:rPr>
    </w:lvl>
    <w:lvl w:ilvl="5">
      <w:start w:val="1"/>
      <w:numFmt w:val="bullet"/>
      <w:lvlText w:val="•"/>
      <w:lvlJc w:val="left"/>
      <w:pPr>
        <w:ind w:left="6967" w:hanging="416"/>
      </w:pPr>
      <w:rPr>
        <w:vertAlign w:val="baseline"/>
      </w:rPr>
    </w:lvl>
    <w:lvl w:ilvl="6">
      <w:start w:val="1"/>
      <w:numFmt w:val="bullet"/>
      <w:lvlText w:val="•"/>
      <w:lvlJc w:val="left"/>
      <w:pPr>
        <w:ind w:left="7659" w:hanging="416"/>
      </w:pPr>
      <w:rPr>
        <w:vertAlign w:val="baseline"/>
      </w:rPr>
    </w:lvl>
    <w:lvl w:ilvl="7">
      <w:start w:val="1"/>
      <w:numFmt w:val="bullet"/>
      <w:lvlText w:val="•"/>
      <w:lvlJc w:val="left"/>
      <w:pPr>
        <w:ind w:left="8351" w:hanging="416"/>
      </w:pPr>
      <w:rPr>
        <w:vertAlign w:val="baseline"/>
      </w:rPr>
    </w:lvl>
    <w:lvl w:ilvl="8">
      <w:start w:val="1"/>
      <w:numFmt w:val="bullet"/>
      <w:lvlText w:val="•"/>
      <w:lvlJc w:val="left"/>
      <w:pPr>
        <w:ind w:left="9042" w:hanging="416"/>
      </w:pPr>
      <w:rPr>
        <w:vertAlign w:val="baseline"/>
      </w:rPr>
    </w:lvl>
  </w:abstractNum>
  <w:abstractNum w:abstractNumId="5">
    <w:lvl w:ilvl="0">
      <w:start w:val="1"/>
      <w:numFmt w:val="decimal"/>
      <w:lvlText w:val="%1."/>
      <w:lvlJc w:val="left"/>
      <w:pPr>
        <w:ind w:left="112" w:hanging="416"/>
      </w:pPr>
      <w:rPr>
        <w:rFonts w:ascii="Times New Roman" w:cs="Times New Roman" w:eastAsia="Times New Roman" w:hAnsi="Times New Roman"/>
        <w:sz w:val="24"/>
        <w:szCs w:val="24"/>
        <w:vertAlign w:val="baseline"/>
      </w:rPr>
    </w:lvl>
    <w:lvl w:ilvl="1">
      <w:start w:val="1"/>
      <w:numFmt w:val="bullet"/>
      <w:lvlText w:val="•"/>
      <w:lvlJc w:val="left"/>
      <w:pPr>
        <w:ind w:left="1072" w:hanging="416"/>
      </w:pPr>
      <w:rPr>
        <w:vertAlign w:val="baseline"/>
      </w:rPr>
    </w:lvl>
    <w:lvl w:ilvl="2">
      <w:start w:val="1"/>
      <w:numFmt w:val="bullet"/>
      <w:lvlText w:val="•"/>
      <w:lvlJc w:val="left"/>
      <w:pPr>
        <w:ind w:left="2033" w:hanging="415.9999999999998"/>
      </w:pPr>
      <w:rPr>
        <w:vertAlign w:val="baseline"/>
      </w:rPr>
    </w:lvl>
    <w:lvl w:ilvl="3">
      <w:start w:val="1"/>
      <w:numFmt w:val="bullet"/>
      <w:lvlText w:val="•"/>
      <w:lvlJc w:val="left"/>
      <w:pPr>
        <w:ind w:left="2993" w:hanging="416"/>
      </w:pPr>
      <w:rPr>
        <w:vertAlign w:val="baseline"/>
      </w:rPr>
    </w:lvl>
    <w:lvl w:ilvl="4">
      <w:start w:val="1"/>
      <w:numFmt w:val="bullet"/>
      <w:lvlText w:val="•"/>
      <w:lvlJc w:val="left"/>
      <w:pPr>
        <w:ind w:left="3954" w:hanging="416.00000000000045"/>
      </w:pPr>
      <w:rPr>
        <w:vertAlign w:val="baseline"/>
      </w:rPr>
    </w:lvl>
    <w:lvl w:ilvl="5">
      <w:start w:val="1"/>
      <w:numFmt w:val="bullet"/>
      <w:lvlText w:val="•"/>
      <w:lvlJc w:val="left"/>
      <w:pPr>
        <w:ind w:left="4914" w:hanging="416"/>
      </w:pPr>
      <w:rPr>
        <w:vertAlign w:val="baseline"/>
      </w:rPr>
    </w:lvl>
    <w:lvl w:ilvl="6">
      <w:start w:val="1"/>
      <w:numFmt w:val="bullet"/>
      <w:lvlText w:val="•"/>
      <w:lvlJc w:val="left"/>
      <w:pPr>
        <w:ind w:left="5875" w:hanging="416"/>
      </w:pPr>
      <w:rPr>
        <w:vertAlign w:val="baseline"/>
      </w:rPr>
    </w:lvl>
    <w:lvl w:ilvl="7">
      <w:start w:val="1"/>
      <w:numFmt w:val="bullet"/>
      <w:lvlText w:val="•"/>
      <w:lvlJc w:val="left"/>
      <w:pPr>
        <w:ind w:left="6836" w:hanging="416"/>
      </w:pPr>
      <w:rPr>
        <w:vertAlign w:val="baseline"/>
      </w:rPr>
    </w:lvl>
    <w:lvl w:ilvl="8">
      <w:start w:val="1"/>
      <w:numFmt w:val="bullet"/>
      <w:lvlText w:val="•"/>
      <w:lvlJc w:val="left"/>
      <w:pPr>
        <w:ind w:left="7796" w:hanging="416"/>
      </w:pPr>
      <w:rPr>
        <w:vertAlign w:val="baseline"/>
      </w:rPr>
    </w:lvl>
  </w:abstractNum>
  <w:abstractNum w:abstractNumId="6">
    <w:lvl w:ilvl="0">
      <w:start w:val="1"/>
      <w:numFmt w:val="bullet"/>
      <w:lvlText w:val="−"/>
      <w:lvlJc w:val="left"/>
      <w:pPr>
        <w:ind w:left="1429"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0" w:firstLine="0"/>
      </w:pPr>
      <w:rPr>
        <w:vertAlign w:val="baseline"/>
      </w:rPr>
    </w:lvl>
    <w:lvl w:ilvl="1">
      <w:start w:val="1"/>
      <w:numFmt w:val="decimal"/>
      <w:lvlText w:val="%2"/>
      <w:lvlJc w:val="left"/>
      <w:pPr>
        <w:ind w:left="0" w:firstLine="0"/>
      </w:pPr>
      <w:rPr>
        <w:vertAlign w:val="baseline"/>
      </w:rPr>
    </w:lvl>
    <w:lvl w:ilvl="2">
      <w:start w:val="1"/>
      <w:numFmt w:val="decimal"/>
      <w:lvlText w:val="%3"/>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ru-RU" w:val="ru-RU"/>
    </w:rPr>
  </w:style>
  <w:style w:type="paragraph" w:styleId="Заголовок1">
    <w:name w:val="Заголовок 1"/>
    <w:basedOn w:val="Обычный"/>
    <w:next w:val="Заголовок1"/>
    <w:autoRedefine w:val="0"/>
    <w:hidden w:val="0"/>
    <w:qFormat w:val="0"/>
    <w:pPr>
      <w:widowControl w:val="0"/>
      <w:suppressAutoHyphens w:val="1"/>
      <w:autoSpaceDE w:val="0"/>
      <w:autoSpaceDN w:val="0"/>
      <w:spacing w:before="75" w:line="1" w:lineRule="atLeast"/>
      <w:ind w:left="1318" w:leftChars="-1" w:rightChars="0" w:firstLineChars="-1"/>
      <w:jc w:val="center"/>
      <w:textDirection w:val="btLr"/>
      <w:textAlignment w:val="top"/>
      <w:outlineLvl w:val="0"/>
    </w:pPr>
    <w:rPr>
      <w:rFonts w:ascii="Arial" w:cs="Arial" w:eastAsia="Times New Roman" w:hAnsi="Arial"/>
      <w:b w:val="1"/>
      <w:bCs w:val="1"/>
      <w:w w:val="100"/>
      <w:position w:val="-1"/>
      <w:sz w:val="28"/>
      <w:szCs w:val="28"/>
      <w:effect w:val="none"/>
      <w:vertAlign w:val="baseline"/>
      <w:cs w:val="0"/>
      <w:em w:val="none"/>
      <w:lang w:bidi="ar-SA" w:eastAsia="en-US" w:val="en-US"/>
    </w:rPr>
  </w:style>
  <w:style w:type="paragraph" w:styleId="Заголовок2">
    <w:name w:val="Заголовок 2"/>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Cambria" w:cs="Times New Roman" w:eastAsia="Times New Roman" w:hAnsi="Cambria"/>
      <w:b w:val="1"/>
      <w:bCs w:val="1"/>
      <w:i w:val="1"/>
      <w:iCs w:val="1"/>
      <w:w w:val="100"/>
      <w:position w:val="-1"/>
      <w:sz w:val="28"/>
      <w:szCs w:val="28"/>
      <w:effect w:val="none"/>
      <w:vertAlign w:val="baseline"/>
      <w:cs w:val="0"/>
      <w:em w:val="none"/>
      <w:lang w:bidi="ar-SA" w:eastAsia="ru-RU" w:val="und"/>
    </w:rPr>
  </w:style>
  <w:style w:type="paragraph" w:styleId="Заголовок3">
    <w:name w:val="Заголовок 3"/>
    <w:basedOn w:val="Обычный"/>
    <w:next w:val="Обычный"/>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Cambria" w:cs="Times New Roman" w:eastAsia="Times New Roman" w:hAnsi="Cambria"/>
      <w:b w:val="1"/>
      <w:bCs w:val="1"/>
      <w:w w:val="100"/>
      <w:position w:val="-1"/>
      <w:sz w:val="26"/>
      <w:szCs w:val="26"/>
      <w:effect w:val="none"/>
      <w:vertAlign w:val="baseline"/>
      <w:cs w:val="0"/>
      <w:em w:val="none"/>
      <w:lang w:bidi="ar-SA" w:eastAsia="ru-RU" w:val="und"/>
    </w:rPr>
  </w:style>
  <w:style w:type="paragraph" w:styleId="Заголовок4">
    <w:name w:val="Заголовок 4"/>
    <w:basedOn w:val="Обычный"/>
    <w:next w:val="Обычный"/>
    <w:autoRedefine w:val="0"/>
    <w:hidden w:val="0"/>
    <w:qFormat w:val="0"/>
    <w:pPr>
      <w:keepNext w:val="1"/>
      <w:keepLines w:val="1"/>
      <w:suppressAutoHyphens w:val="1"/>
      <w:spacing w:before="200" w:line="276" w:lineRule="auto"/>
      <w:ind w:leftChars="-1" w:rightChars="0" w:firstLineChars="-1"/>
      <w:textDirection w:val="btLr"/>
      <w:textAlignment w:val="top"/>
      <w:outlineLvl w:val="3"/>
    </w:pPr>
    <w:rPr>
      <w:rFonts w:ascii="Cambria" w:cs="Times New Roman" w:eastAsia="Times New Roman" w:hAnsi="Cambria"/>
      <w:b w:val="1"/>
      <w:bCs w:val="1"/>
      <w:i w:val="1"/>
      <w:iCs w:val="1"/>
      <w:color w:val="4f81bd"/>
      <w:w w:val="100"/>
      <w:position w:val="-1"/>
      <w:effect w:val="none"/>
      <w:vertAlign w:val="baseline"/>
      <w:cs w:val="0"/>
      <w:em w:val="none"/>
      <w:lang w:bidi="ar-SA" w:eastAsia="und" w:val="und"/>
    </w:rPr>
  </w:style>
  <w:style w:type="paragraph" w:styleId="Заголовок5">
    <w:name w:val="Заголовок 5"/>
    <w:basedOn w:val="Обычный"/>
    <w:next w:val="Обычный"/>
    <w:autoRedefine w:val="0"/>
    <w:hidden w:val="0"/>
    <w:qFormat w:val="0"/>
    <w:pPr>
      <w:suppressAutoHyphens w:val="1"/>
      <w:spacing w:after="60" w:before="240" w:line="1" w:lineRule="atLeast"/>
      <w:ind w:leftChars="-1" w:rightChars="0" w:firstLineChars="-1"/>
      <w:textDirection w:val="btLr"/>
      <w:textAlignment w:val="top"/>
      <w:outlineLvl w:val="4"/>
    </w:pPr>
    <w:rPr>
      <w:b w:val="1"/>
      <w:bCs w:val="1"/>
      <w:i w:val="1"/>
      <w:iCs w:val="1"/>
      <w:w w:val="100"/>
      <w:position w:val="-1"/>
      <w:sz w:val="26"/>
      <w:szCs w:val="26"/>
      <w:effect w:val="none"/>
      <w:vertAlign w:val="baseline"/>
      <w:cs w:val="0"/>
      <w:em w:val="none"/>
      <w:lang w:bidi="ar-SA" w:eastAsia="ru-RU" w:val="und"/>
    </w:rPr>
  </w:style>
  <w:style w:type="paragraph" w:styleId="Заголовок6">
    <w:name w:val="Заголовок 6"/>
    <w:basedOn w:val="Обычный"/>
    <w:next w:val="Обычный"/>
    <w:autoRedefine w:val="0"/>
    <w:hidden w:val="0"/>
    <w:qFormat w:val="0"/>
    <w:pPr>
      <w:suppressAutoHyphens w:val="1"/>
      <w:spacing w:after="60" w:before="240" w:line="1" w:lineRule="atLeast"/>
      <w:ind w:leftChars="-1" w:rightChars="0" w:firstLineChars="-1"/>
      <w:textDirection w:val="btLr"/>
      <w:textAlignment w:val="top"/>
      <w:outlineLvl w:val="5"/>
    </w:pPr>
    <w:rPr>
      <w:b w:val="1"/>
      <w:bCs w:val="1"/>
      <w:w w:val="100"/>
      <w:position w:val="-1"/>
      <w:effect w:val="none"/>
      <w:vertAlign w:val="baseline"/>
      <w:cs w:val="0"/>
      <w:em w:val="none"/>
      <w:lang w:bidi="ar-SA" w:eastAsia="ru-RU" w:val="und"/>
    </w:rPr>
  </w:style>
  <w:style w:type="paragraph" w:styleId="Заголовок7">
    <w:name w:val="Заголовок 7"/>
    <w:basedOn w:val="Обычный"/>
    <w:next w:val="Обычный"/>
    <w:autoRedefine w:val="0"/>
    <w:hidden w:val="0"/>
    <w:qFormat w:val="0"/>
    <w:pPr>
      <w:keepNext w:val="1"/>
      <w:keepLines w:val="1"/>
      <w:suppressAutoHyphens w:val="1"/>
      <w:spacing w:before="200" w:line="276" w:lineRule="auto"/>
      <w:ind w:leftChars="-1" w:rightChars="0" w:firstLineChars="-1"/>
      <w:textDirection w:val="btLr"/>
      <w:textAlignment w:val="top"/>
      <w:outlineLvl w:val="6"/>
    </w:pPr>
    <w:rPr>
      <w:rFonts w:ascii="Cambria" w:cs="Times New Roman" w:eastAsia="Times New Roman" w:hAnsi="Cambria"/>
      <w:i w:val="1"/>
      <w:iCs w:val="1"/>
      <w:color w:val="404040"/>
      <w:w w:val="100"/>
      <w:position w:val="-1"/>
      <w:effect w:val="none"/>
      <w:vertAlign w:val="baseline"/>
      <w:cs w:val="0"/>
      <w:em w:val="none"/>
      <w:lang w:bidi="ar-SA" w:eastAsia="und" w:val="und"/>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character" w:styleId="Заголовок2Знак">
    <w:name w:val="Заголовок 2 Знак"/>
    <w:next w:val="Заголовок2Знак"/>
    <w:autoRedefine w:val="0"/>
    <w:hidden w:val="0"/>
    <w:qFormat w:val="0"/>
    <w:rPr>
      <w:rFonts w:ascii="Cambria" w:cs="Times New Roman" w:eastAsia="Times New Roman" w:hAnsi="Cambria"/>
      <w:b w:val="1"/>
      <w:bCs w:val="1"/>
      <w:i w:val="1"/>
      <w:iCs w:val="1"/>
      <w:w w:val="100"/>
      <w:position w:val="-1"/>
      <w:sz w:val="28"/>
      <w:szCs w:val="28"/>
      <w:effect w:val="none"/>
      <w:vertAlign w:val="baseline"/>
      <w:cs w:val="0"/>
      <w:em w:val="none"/>
      <w:lang w:eastAsia="ru-RU"/>
    </w:rPr>
  </w:style>
  <w:style w:type="character" w:styleId="Заголовок3Знак">
    <w:name w:val="Заголовок 3 Знак"/>
    <w:next w:val="Заголовок3Знак"/>
    <w:autoRedefine w:val="0"/>
    <w:hidden w:val="0"/>
    <w:qFormat w:val="0"/>
    <w:rPr>
      <w:rFonts w:ascii="Cambria" w:cs="Times New Roman" w:eastAsia="Times New Roman" w:hAnsi="Cambria"/>
      <w:b w:val="1"/>
      <w:bCs w:val="1"/>
      <w:w w:val="100"/>
      <w:position w:val="-1"/>
      <w:sz w:val="26"/>
      <w:szCs w:val="26"/>
      <w:effect w:val="none"/>
      <w:vertAlign w:val="baseline"/>
      <w:cs w:val="0"/>
      <w:em w:val="none"/>
      <w:lang w:eastAsia="ru-RU"/>
    </w:rPr>
  </w:style>
  <w:style w:type="character" w:styleId="Заголовок4Знак">
    <w:name w:val="Заголовок 4 Знак"/>
    <w:next w:val="Заголовок4Знак"/>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Заголовок5Знак">
    <w:name w:val="Заголовок 5 Знак"/>
    <w:next w:val="Заголовок5Знак"/>
    <w:autoRedefine w:val="0"/>
    <w:hidden w:val="0"/>
    <w:qFormat w:val="0"/>
    <w:rPr>
      <w:b w:val="1"/>
      <w:bCs w:val="1"/>
      <w:i w:val="1"/>
      <w:iCs w:val="1"/>
      <w:w w:val="100"/>
      <w:position w:val="-1"/>
      <w:sz w:val="26"/>
      <w:szCs w:val="26"/>
      <w:effect w:val="none"/>
      <w:vertAlign w:val="baseline"/>
      <w:cs w:val="0"/>
      <w:em w:val="none"/>
      <w:lang w:eastAsia="ru-RU"/>
    </w:rPr>
  </w:style>
  <w:style w:type="character" w:styleId="Заголовок6Знак">
    <w:name w:val="Заголовок 6 Знак"/>
    <w:next w:val="Заголовок6Знак"/>
    <w:autoRedefine w:val="0"/>
    <w:hidden w:val="0"/>
    <w:qFormat w:val="0"/>
    <w:rPr>
      <w:b w:val="1"/>
      <w:bCs w:val="1"/>
      <w:w w:val="100"/>
      <w:position w:val="-1"/>
      <w:effect w:val="none"/>
      <w:vertAlign w:val="baseline"/>
      <w:cs w:val="0"/>
      <w:em w:val="none"/>
      <w:lang w:eastAsia="ru-RU"/>
    </w:rPr>
  </w:style>
  <w:style w:type="character" w:styleId="Заголовок7Знак">
    <w:name w:val="Заголовок 7 Знак"/>
    <w:next w:val="Заголовок7Знак"/>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line="360" w:lineRule="auto"/>
      <w:ind w:leftChars="-1" w:rightChars="0" w:firstLine="567" w:firstLineChars="-1"/>
      <w:jc w:val="both"/>
      <w:textDirection w:val="btLr"/>
      <w:textAlignment w:val="top"/>
      <w:outlineLvl w:val="0"/>
    </w:pPr>
    <w:rPr>
      <w:rFonts w:ascii="Times New Roman" w:cs="Times New Roman" w:eastAsia="Times New Roman" w:hAnsi="Times New Roman"/>
      <w:w w:val="100"/>
      <w:position w:val="-1"/>
      <w:sz w:val="28"/>
      <w:effect w:val="none"/>
      <w:vertAlign w:val="baseline"/>
      <w:cs w:val="0"/>
      <w:em w:val="none"/>
      <w:lang w:bidi="ar-SA" w:eastAsia="ru-RU" w:val="uk-UA"/>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rFonts w:ascii="Times New Roman" w:cs="Times New Roman" w:eastAsia="Times New Roman" w:hAnsi="Times New Roman"/>
      <w:w w:val="100"/>
      <w:position w:val="-1"/>
      <w:sz w:val="28"/>
      <w:szCs w:val="20"/>
      <w:effect w:val="none"/>
      <w:vertAlign w:val="baseline"/>
      <w:cs w:val="0"/>
      <w:em w:val="none"/>
      <w:lang w:eastAsia="ru-RU" w:val="uk-UA"/>
    </w:rPr>
  </w:style>
  <w:style w:type="paragraph" w:styleId="Основнойтекст21">
    <w:name w:val="Основной текст 21"/>
    <w:basedOn w:val="Обычный"/>
    <w:next w:val="Основнойтекст21"/>
    <w:autoRedefine w:val="0"/>
    <w:hidden w:val="0"/>
    <w:qFormat w:val="0"/>
    <w:pPr>
      <w:suppressAutoHyphens w:val="0"/>
      <w:spacing w:line="1" w:lineRule="atLeast"/>
      <w:ind w:leftChars="-1" w:rightChars="0" w:firstLineChars="-1"/>
      <w:jc w:val="both"/>
      <w:textDirection w:val="btLr"/>
      <w:textAlignment w:val="top"/>
      <w:outlineLvl w:val="0"/>
    </w:pPr>
    <w:rPr>
      <w:rFonts w:ascii="Times New Roman" w:cs="Times New Roman" w:eastAsia="Times New Roman" w:hAnsi="Times New Roman"/>
      <w:b w:val="1"/>
      <w:w w:val="100"/>
      <w:position w:val="-1"/>
      <w:sz w:val="28"/>
      <w:effect w:val="none"/>
      <w:vertAlign w:val="baseline"/>
      <w:cs w:val="0"/>
      <w:em w:val="none"/>
      <w:lang w:bidi="ar-SA" w:eastAsia="ar-SA" w:val="ru-RU"/>
    </w:rPr>
  </w:style>
  <w:style w:type="character" w:styleId="st">
    <w:name w:val="st"/>
    <w:basedOn w:val="Основнойшрифтабзаца"/>
    <w:next w:val="st"/>
    <w:autoRedefine w:val="0"/>
    <w:hidden w:val="0"/>
    <w:qFormat w:val="0"/>
    <w:rPr>
      <w:w w:val="100"/>
      <w:position w:val="-1"/>
      <w:effect w:val="none"/>
      <w:vertAlign w:val="baseline"/>
      <w:cs w:val="0"/>
      <w:em w:val="none"/>
      <w:lang/>
    </w:rPr>
  </w:style>
  <w:style w:type="character" w:styleId="y0nh2b">
    <w:name w:val="y0nh2b"/>
    <w:basedOn w:val="Основнойшрифтабзаца"/>
    <w:next w:val="y0nh2b"/>
    <w:autoRedefine w:val="0"/>
    <w:hidden w:val="0"/>
    <w:qFormat w:val="0"/>
    <w:rPr>
      <w:w w:val="100"/>
      <w:position w:val="-1"/>
      <w:effect w:val="none"/>
      <w:vertAlign w:val="baseline"/>
      <w:cs w:val="0"/>
      <w:em w:val="none"/>
      <w:lang/>
    </w:rPr>
  </w:style>
  <w:style w:type="character" w:styleId="BodyTextChar">
    <w:name w:val="Body Text Char"/>
    <w:next w:val="BodyTextChar"/>
    <w:autoRedefine w:val="0"/>
    <w:hidden w:val="0"/>
    <w:qFormat w:val="0"/>
    <w:rPr>
      <w:rFonts w:ascii="Times New Roman" w:cs="Times New Roman" w:hAnsi="Times New Roman"/>
      <w:w w:val="100"/>
      <w:position w:val="-1"/>
      <w:effect w:val="none"/>
      <w:vertAlign w:val="baseline"/>
      <w:cs w:val="0"/>
      <w:em w:val="none"/>
      <w:lang w:val="en-US"/>
    </w:rPr>
  </w:style>
  <w:style w:type="paragraph" w:styleId="TextBody">
    <w:name w:val="Text Body"/>
    <w:basedOn w:val="Обычный"/>
    <w:next w:val="TextBody"/>
    <w:autoRedefine w:val="0"/>
    <w:hidden w:val="0"/>
    <w:qFormat w:val="0"/>
    <w:pPr>
      <w:widowControl w:val="0"/>
      <w:suppressAutoHyphens w:val="0"/>
      <w:spacing w:line="1" w:lineRule="atLeast"/>
      <w:ind w:leftChars="-1" w:rightChars="0" w:firstLineChars="-1"/>
      <w:textDirection w:val="btLr"/>
      <w:textAlignment w:val="top"/>
      <w:outlineLvl w:val="0"/>
    </w:pPr>
    <w:rPr>
      <w:rFonts w:ascii="Times New Roman" w:cs="Times New Roman" w:hAnsi="Times New Roman"/>
      <w:w w:val="100"/>
      <w:position w:val="-1"/>
      <w:effect w:val="none"/>
      <w:vertAlign w:val="baseline"/>
      <w:cs w:val="0"/>
      <w:em w:val="none"/>
      <w:lang w:bidi="ar-SA" w:eastAsia="und" w:val="en-US"/>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paragraph" w:styleId="Обычный(веб)">
    <w:name w:val="Обычный (веб)"/>
    <w:basedOn w:val="Обычный"/>
    <w:next w:val="Обычный(веб)"/>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character" w:styleId="apple-converted-space">
    <w:name w:val="apple-converted-space"/>
    <w:basedOn w:val="Основнойшрифтабзаца"/>
    <w:next w:val="apple-converted-space"/>
    <w:autoRedefine w:val="0"/>
    <w:hidden w:val="0"/>
    <w:qFormat w:val="0"/>
    <w:rPr>
      <w:w w:val="100"/>
      <w:position w:val="-1"/>
      <w:effect w:val="none"/>
      <w:vertAlign w:val="baseline"/>
      <w:cs w:val="0"/>
      <w:em w:val="none"/>
      <w:lang/>
    </w:rPr>
  </w:style>
  <w:style w:type="paragraph" w:styleId="TableParagraph">
    <w:name w:val="Table Paragraph"/>
    <w:basedOn w:val="Обычный"/>
    <w:next w:val="TableParagraph"/>
    <w:autoRedefine w:val="0"/>
    <w:hidden w:val="0"/>
    <w:qFormat w:val="0"/>
    <w:pPr>
      <w:widowControl w:val="0"/>
      <w:suppressAutoHyphens w:val="0"/>
      <w:spacing w:line="275" w:lineRule="atLeast"/>
      <w:ind w:left="100" w:leftChars="-1" w:rightChars="0" w:firstLineChars="-1"/>
      <w:textDirection w:val="btLr"/>
      <w:textAlignment w:val="top"/>
      <w:outlineLvl w:val="0"/>
    </w:pPr>
    <w:rPr>
      <w:rFonts w:ascii="Times New Roman" w:cs="Times New Roman" w:hAnsi="Times New Roman"/>
      <w:w w:val="100"/>
      <w:position w:val="-1"/>
      <w:sz w:val="22"/>
      <w:szCs w:val="22"/>
      <w:effect w:val="none"/>
      <w:vertAlign w:val="baseline"/>
      <w:cs w:val="0"/>
      <w:em w:val="none"/>
      <w:lang w:bidi="ar-SA" w:eastAsia="en-US" w:val="en-US"/>
    </w:rPr>
  </w:style>
  <w:style w:type="paragraph" w:styleId="Цитата">
    <w:name w:val="Цитата"/>
    <w:basedOn w:val="Обычный"/>
    <w:next w:val="Цитата"/>
    <w:autoRedefine w:val="0"/>
    <w:hidden w:val="0"/>
    <w:qFormat w:val="0"/>
    <w:pPr>
      <w:shd w:color="auto" w:fill="ffffff" w:val="clear"/>
      <w:suppressAutoHyphens w:val="1"/>
      <w:spacing w:line="360" w:lineRule="auto"/>
      <w:ind w:left="7" w:right="5" w:leftChars="-1" w:rightChars="0" w:firstLine="713" w:firstLineChars="-1"/>
      <w:jc w:val="both"/>
      <w:textDirection w:val="btLr"/>
      <w:textAlignment w:val="top"/>
      <w:outlineLvl w:val="0"/>
    </w:pPr>
    <w:rPr>
      <w:rFonts w:ascii="Times New Roman" w:cs="Times New Roman" w:eastAsia="Times New Roman" w:hAnsi="Times New Roman"/>
      <w:color w:val="000000"/>
      <w:spacing w:val="-2"/>
      <w:w w:val="100"/>
      <w:position w:val="-1"/>
      <w:sz w:val="28"/>
      <w:szCs w:val="28"/>
      <w:effect w:val="none"/>
      <w:vertAlign w:val="baseline"/>
      <w:cs w:val="0"/>
      <w:em w:val="none"/>
      <w:lang w:bidi="ar-SA" w:eastAsia="ru-RU" w:val="uk-UA"/>
    </w:rPr>
  </w:style>
  <w:style w:type="character" w:styleId="Основнойтекст_">
    <w:name w:val="Основной текст_"/>
    <w:next w:val="Основнойтекст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1">
    <w:name w:val="Основной текст1"/>
    <w:next w:val="Основнойтекст1"/>
    <w:autoRedefine w:val="0"/>
    <w:hidden w:val="0"/>
    <w:qFormat w:val="0"/>
    <w:rPr>
      <w:color w:val="000000"/>
      <w:spacing w:val="0"/>
      <w:w w:val="100"/>
      <w:position w:val="0"/>
      <w:sz w:val="27"/>
      <w:szCs w:val="27"/>
      <w:u w:val="single"/>
      <w:effect w:val="none"/>
      <w:shd w:color="auto" w:fill="ffffff" w:val="clear"/>
      <w:vertAlign w:val="baseline"/>
      <w:cs w:val="0"/>
      <w:em w:val="none"/>
      <w:lang w:val="uk-UA"/>
    </w:rPr>
  </w:style>
  <w:style w:type="character" w:styleId="Заголовок№1_">
    <w:name w:val="Заголовок №1_"/>
    <w:next w:val="Заголовок№1_"/>
    <w:autoRedefine w:val="0"/>
    <w:hidden w:val="0"/>
    <w:qFormat w:val="0"/>
    <w:rPr>
      <w:w w:val="100"/>
      <w:position w:val="-1"/>
      <w:sz w:val="27"/>
      <w:szCs w:val="27"/>
      <w:effect w:val="none"/>
      <w:shd w:color="auto" w:fill="ffffff" w:val="clear"/>
      <w:vertAlign w:val="baseline"/>
      <w:cs w:val="0"/>
      <w:em w:val="none"/>
      <w:lang/>
    </w:rPr>
  </w:style>
  <w:style w:type="character" w:styleId="Основнойтекст(3)_">
    <w:name w:val="Основной текст (3)_"/>
    <w:next w:val="Основнойтекст(3)_"/>
    <w:autoRedefine w:val="0"/>
    <w:hidden w:val="0"/>
    <w:qFormat w:val="0"/>
    <w:rPr>
      <w:i w:val="1"/>
      <w:iCs w:val="1"/>
      <w:w w:val="100"/>
      <w:position w:val="-1"/>
      <w:sz w:val="27"/>
      <w:szCs w:val="27"/>
      <w:effect w:val="none"/>
      <w:shd w:color="auto" w:fill="ffffff" w:val="clear"/>
      <w:vertAlign w:val="baseline"/>
      <w:cs w:val="0"/>
      <w:em w:val="none"/>
      <w:lang/>
    </w:rPr>
  </w:style>
  <w:style w:type="character" w:styleId="Основнойтекст(3)+Некурсив">
    <w:name w:val="Основной текст (3) + Не курсив"/>
    <w:next w:val="Основнойтекст(3)+Некурсив"/>
    <w:autoRedefine w:val="0"/>
    <w:hidden w:val="0"/>
    <w:qFormat w:val="0"/>
    <w:rPr>
      <w:i w:val="1"/>
      <w:iCs w:val="1"/>
      <w:color w:val="000000"/>
      <w:spacing w:val="0"/>
      <w:w w:val="100"/>
      <w:position w:val="0"/>
      <w:sz w:val="27"/>
      <w:szCs w:val="27"/>
      <w:effect w:val="none"/>
      <w:shd w:color="auto" w:fill="ffffff" w:val="clear"/>
      <w:vertAlign w:val="baseline"/>
      <w:cs w:val="0"/>
      <w:em w:val="none"/>
      <w:lang w:val="uk-UA"/>
    </w:rPr>
  </w:style>
  <w:style w:type="character" w:styleId="Основнойтекст(3)+13pt;Полужирный">
    <w:name w:val="Основной текст (3) + 13 pt;Полужирный"/>
    <w:next w:val="Основнойтекст(3)+13pt;Полужирный"/>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13pt;Полужирный;Курсив">
    <w:name w:val="Основной текст + 13 pt;Полужирный;Курсив"/>
    <w:next w:val="Основнойтекст+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Заголовок№1+13pt;Полужирный;Курсив">
    <w:name w:val="Заголовок №1 + 13 pt;Полужирный;Курсив"/>
    <w:next w:val="Заголовок№1+13pt;Полужирный;Курсив"/>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character" w:styleId="Основнойтекст6">
    <w:name w:val="Основной текст6"/>
    <w:next w:val="Основнойтекст6"/>
    <w:autoRedefine w:val="0"/>
    <w:hidden w:val="0"/>
    <w:qFormat w:val="0"/>
    <w:rPr>
      <w:color w:val="000000"/>
      <w:spacing w:val="0"/>
      <w:w w:val="100"/>
      <w:position w:val="0"/>
      <w:sz w:val="27"/>
      <w:szCs w:val="27"/>
      <w:effect w:val="none"/>
      <w:shd w:color="auto" w:fill="ffffff" w:val="clear"/>
      <w:vertAlign w:val="baseline"/>
      <w:cs w:val="0"/>
      <w:em w:val="none"/>
      <w:lang w:val="uk-UA"/>
    </w:rPr>
  </w:style>
  <w:style w:type="paragraph" w:styleId="Основнойтекст7">
    <w:name w:val="Основной текст7"/>
    <w:basedOn w:val="Обычный"/>
    <w:next w:val="Основнойтекст7"/>
    <w:autoRedefine w:val="0"/>
    <w:hidden w:val="0"/>
    <w:qFormat w:val="0"/>
    <w:pPr>
      <w:widowControl w:val="0"/>
      <w:shd w:color="auto" w:fill="ffffff" w:val="clear"/>
      <w:suppressAutoHyphens w:val="1"/>
      <w:spacing w:after="3300" w:line="480" w:lineRule="atLeast"/>
      <w:ind w:leftChars="-1" w:rightChars="0" w:firstLineChars="-1"/>
      <w:jc w:val="center"/>
      <w:textDirection w:val="btLr"/>
      <w:textAlignment w:val="top"/>
      <w:outlineLvl w:val="0"/>
    </w:pPr>
    <w:rPr>
      <w:w w:val="100"/>
      <w:position w:val="-1"/>
      <w:sz w:val="27"/>
      <w:szCs w:val="27"/>
      <w:effect w:val="none"/>
      <w:vertAlign w:val="baseline"/>
      <w:cs w:val="0"/>
      <w:em w:val="none"/>
      <w:lang w:bidi="ar-SA" w:eastAsia="und" w:val="und"/>
    </w:rPr>
  </w:style>
  <w:style w:type="paragraph" w:styleId="Заголовок№1">
    <w:name w:val="Заголовок №1"/>
    <w:basedOn w:val="Обычный"/>
    <w:next w:val="Заголовок№1"/>
    <w:autoRedefine w:val="0"/>
    <w:hidden w:val="0"/>
    <w:qFormat w:val="0"/>
    <w:pPr>
      <w:widowControl w:val="0"/>
      <w:shd w:color="auto" w:fill="ffffff" w:val="clear"/>
      <w:suppressAutoHyphens w:val="1"/>
      <w:spacing w:after="300" w:line="374" w:lineRule="atLeast"/>
      <w:ind w:leftChars="-1" w:rightChars="0" w:firstLine="700" w:firstLineChars="-1"/>
      <w:jc w:val="both"/>
      <w:textDirection w:val="btLr"/>
      <w:textAlignment w:val="top"/>
      <w:outlineLvl w:val="0"/>
    </w:pPr>
    <w:rPr>
      <w:w w:val="100"/>
      <w:position w:val="-1"/>
      <w:sz w:val="27"/>
      <w:szCs w:val="27"/>
      <w:effect w:val="none"/>
      <w:vertAlign w:val="baseline"/>
      <w:cs w:val="0"/>
      <w:em w:val="none"/>
      <w:lang w:bidi="ar-SA" w:eastAsia="und" w:val="und"/>
    </w:rPr>
  </w:style>
  <w:style w:type="paragraph" w:styleId="Основнойтекст(3)">
    <w:name w:val="Основной текст (3)"/>
    <w:basedOn w:val="Обычный"/>
    <w:next w:val="Основнойтекст(3)"/>
    <w:autoRedefine w:val="0"/>
    <w:hidden w:val="0"/>
    <w:qFormat w:val="0"/>
    <w:pPr>
      <w:widowControl w:val="0"/>
      <w:shd w:color="auto" w:fill="ffffff" w:val="clear"/>
      <w:suppressAutoHyphens w:val="1"/>
      <w:spacing w:line="370" w:lineRule="atLeast"/>
      <w:ind w:leftChars="-1" w:rightChars="0" w:firstLineChars="-1"/>
      <w:jc w:val="both"/>
      <w:textDirection w:val="btLr"/>
      <w:textAlignment w:val="top"/>
      <w:outlineLvl w:val="0"/>
    </w:pPr>
    <w:rPr>
      <w:i w:val="1"/>
      <w:iCs w:val="1"/>
      <w:w w:val="100"/>
      <w:position w:val="-1"/>
      <w:sz w:val="27"/>
      <w:szCs w:val="27"/>
      <w:effect w:val="none"/>
      <w:vertAlign w:val="baseline"/>
      <w:cs w:val="0"/>
      <w:em w:val="none"/>
      <w:lang w:bidi="ar-SA" w:eastAsia="und" w:val="und"/>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ru-RU" w:val="ru-RU"/>
    </w:rPr>
  </w:style>
  <w:style w:type="character" w:styleId="Заголовок№1(2)_">
    <w:name w:val="Заголовок №1 (2)_"/>
    <w:next w:val="Заголовок№1(2)_"/>
    <w:autoRedefine w:val="0"/>
    <w:hidden w:val="0"/>
    <w:qFormat w:val="0"/>
    <w:rPr>
      <w:i w:val="1"/>
      <w:iCs w:val="1"/>
      <w:w w:val="100"/>
      <w:position w:val="-1"/>
      <w:sz w:val="27"/>
      <w:szCs w:val="27"/>
      <w:effect w:val="none"/>
      <w:shd w:color="auto" w:fill="ffffff" w:val="clear"/>
      <w:vertAlign w:val="baseline"/>
      <w:cs w:val="0"/>
      <w:em w:val="none"/>
      <w:lang/>
    </w:rPr>
  </w:style>
  <w:style w:type="character" w:styleId="Заголовок№1(2)+13pt;Полужирный">
    <w:name w:val="Заголовок №1 (2) + 13 pt;Полужирный"/>
    <w:next w:val="Заголовок№1(2)+13pt;Полужирный"/>
    <w:autoRedefine w:val="0"/>
    <w:hidden w:val="0"/>
    <w:qFormat w:val="0"/>
    <w:rPr>
      <w:b w:val="1"/>
      <w:bCs w:val="1"/>
      <w:i w:val="1"/>
      <w:iCs w:val="1"/>
      <w:color w:val="000000"/>
      <w:spacing w:val="0"/>
      <w:w w:val="100"/>
      <w:position w:val="0"/>
      <w:sz w:val="26"/>
      <w:szCs w:val="26"/>
      <w:effect w:val="none"/>
      <w:shd w:color="auto" w:fill="ffffff" w:val="clear"/>
      <w:vertAlign w:val="baseline"/>
      <w:cs w:val="0"/>
      <w:em w:val="none"/>
      <w:lang w:val="uk-UA"/>
    </w:rPr>
  </w:style>
  <w:style w:type="paragraph" w:styleId="Заголовок№1(2)">
    <w:name w:val="Заголовок №1 (2)"/>
    <w:basedOn w:val="Обычный"/>
    <w:next w:val="Заголовок№1(2)"/>
    <w:autoRedefine w:val="0"/>
    <w:hidden w:val="0"/>
    <w:qFormat w:val="0"/>
    <w:pPr>
      <w:widowControl w:val="0"/>
      <w:shd w:color="auto" w:fill="ffffff" w:val="clear"/>
      <w:suppressAutoHyphens w:val="1"/>
      <w:spacing w:after="360" w:before="600" w:line="0" w:lineRule="atLeast"/>
      <w:ind w:leftChars="-1" w:rightChars="0" w:hanging="320" w:firstLineChars="-1"/>
      <w:textDirection w:val="btLr"/>
      <w:textAlignment w:val="top"/>
      <w:outlineLvl w:val="0"/>
    </w:pPr>
    <w:rPr>
      <w:i w:val="1"/>
      <w:iCs w:val="1"/>
      <w:w w:val="100"/>
      <w:position w:val="-1"/>
      <w:sz w:val="27"/>
      <w:szCs w:val="27"/>
      <w:effect w:val="none"/>
      <w:vertAlign w:val="baseline"/>
      <w:cs w:val="0"/>
      <w:em w:val="none"/>
      <w:lang w:bidi="ar-SA" w:eastAsia="und" w:val="und"/>
    </w:rPr>
  </w:style>
  <w:style w:type="paragraph" w:styleId="Абзацсписка">
    <w:name w:val="Абзац списка"/>
    <w:basedOn w:val="Обычный"/>
    <w:next w:val="Абзацсписка"/>
    <w:autoRedefine w:val="0"/>
    <w:hidden w:val="0"/>
    <w:qFormat w:val="0"/>
    <w:pPr>
      <w:widowControl w:val="0"/>
      <w:suppressAutoHyphens w:val="1"/>
      <w:autoSpaceDE w:val="0"/>
      <w:autoSpaceDN w:val="0"/>
      <w:spacing w:line="439" w:lineRule="auto"/>
      <w:ind w:left="720" w:leftChars="-1" w:rightChars="0" w:hanging="340" w:firstLineChars="-1"/>
      <w:contextualSpacing w:val="1"/>
      <w:textDirection w:val="btLr"/>
      <w:textAlignment w:val="top"/>
      <w:outlineLvl w:val="0"/>
    </w:pPr>
    <w:rPr>
      <w:rFonts w:ascii="Times New Roman" w:cs="Times New Roman" w:eastAsia="Times New Roman" w:hAnsi="Times New Roman"/>
      <w:w w:val="100"/>
      <w:position w:val="-1"/>
      <w:effect w:val="none"/>
      <w:vertAlign w:val="baseline"/>
      <w:cs w:val="0"/>
      <w:em w:val="none"/>
      <w:lang w:bidi="ar-SA" w:eastAsia="ru-RU" w:val="ru-RU"/>
    </w:rPr>
  </w:style>
  <w:style w:type="table" w:styleId="Сеткатаблицы">
    <w:name w:val="Сетка таблицы"/>
    <w:basedOn w:val="Обычнаятаблица"/>
    <w:next w:val="Сеткатаблицы"/>
    <w:autoRedefine w:val="0"/>
    <w:hidden w:val="0"/>
    <w:qFormat w:val="0"/>
    <w:pPr>
      <w:suppressAutoHyphens w:val="1"/>
      <w:spacing w:after="0" w:line="240" w:lineRule="auto"/>
      <w:ind w:leftChars="-1" w:rightChars="0" w:firstLineChars="-1"/>
      <w:textDirection w:val="btLr"/>
      <w:textAlignment w:val="top"/>
      <w:outlineLvl w:val="0"/>
    </w:pPr>
    <w:rPr>
      <w:rFonts w:ascii="Calibri" w:cs="Arial" w:eastAsia="Calibri" w:hAnsi="Calibri"/>
      <w:w w:val="100"/>
      <w:position w:val="-1"/>
      <w:sz w:val="20"/>
      <w:szCs w:val="20"/>
      <w:effect w:val="none"/>
      <w:vertAlign w:val="baseline"/>
      <w:cs w:val="0"/>
      <w:em w:val="none"/>
      <w:lang w:eastAsia="ru-RU"/>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Основнойтекст">
    <w:name w:val="Основной текст"/>
    <w:basedOn w:val="Обычный"/>
    <w:next w:val="Основнойтекст"/>
    <w:autoRedefine w:val="0"/>
    <w:hidden w:val="0"/>
    <w:qFormat w:val="1"/>
    <w:pPr>
      <w:suppressAutoHyphens w:val="1"/>
      <w:spacing w:after="120" w:line="1" w:lineRule="atLeast"/>
      <w:ind w:leftChars="-1" w:rightChars="0" w:firstLineChars="-1"/>
      <w:textDirection w:val="btLr"/>
      <w:textAlignment w:val="top"/>
      <w:outlineLvl w:val="0"/>
    </w:pPr>
    <w:rPr>
      <w:w w:val="100"/>
      <w:position w:val="-1"/>
      <w:effect w:val="none"/>
      <w:vertAlign w:val="baseline"/>
      <w:cs w:val="0"/>
      <w:em w:val="none"/>
      <w:lang w:bidi="ar-SA" w:eastAsia="und" w:val="und"/>
    </w:rPr>
  </w:style>
  <w:style w:type="character" w:styleId="ОсновнойтекстЗнак">
    <w:name w:val="Основной текст Знак"/>
    <w:next w:val="ОсновнойтекстЗнак"/>
    <w:autoRedefine w:val="0"/>
    <w:hidden w:val="0"/>
    <w:qFormat w:val="0"/>
    <w:rPr>
      <w:w w:val="100"/>
      <w:position w:val="-1"/>
      <w:effect w:val="none"/>
      <w:vertAlign w:val="baseline"/>
      <w:cs w:val="0"/>
      <w:em w:val="none"/>
      <w:lang/>
    </w:rPr>
  </w:style>
  <w:style w:type="paragraph" w:styleId="Краснаястрока">
    <w:name w:val="Красная строка"/>
    <w:basedOn w:val="Основнойтекст"/>
    <w:next w:val="Краснаястрока"/>
    <w:autoRedefine w:val="0"/>
    <w:hidden w:val="0"/>
    <w:qFormat w:val="1"/>
    <w:pPr>
      <w:suppressAutoHyphens w:val="1"/>
      <w:spacing w:after="120" w:line="1" w:lineRule="atLeast"/>
      <w:ind w:leftChars="-1" w:rightChars="0" w:firstLine="210" w:firstLineChars="-1"/>
      <w:textDirection w:val="btLr"/>
      <w:textAlignment w:val="top"/>
      <w:outlineLvl w:val="0"/>
    </w:pPr>
    <w:rPr>
      <w:w w:val="100"/>
      <w:position w:val="-1"/>
      <w:effect w:val="none"/>
      <w:vertAlign w:val="baseline"/>
      <w:cs w:val="0"/>
      <w:em w:val="none"/>
      <w:lang w:bidi="ar-SA" w:eastAsia="und" w:val="und"/>
    </w:rPr>
  </w:style>
  <w:style w:type="character" w:styleId="КраснаястрокаЗнак">
    <w:name w:val="Красная строка Знак"/>
    <w:basedOn w:val="ОсновнойтекстЗнак"/>
    <w:next w:val="КраснаястрокаЗнак"/>
    <w:autoRedefine w:val="0"/>
    <w:hidden w:val="0"/>
    <w:qFormat w:val="0"/>
    <w:rPr>
      <w:w w:val="100"/>
      <w:position w:val="-1"/>
      <w:effect w:val="none"/>
      <w:vertAlign w:val="baseline"/>
      <w:cs w:val="0"/>
      <w:em w:val="none"/>
      <w:lang/>
    </w:rPr>
  </w:style>
  <w:style w:type="paragraph" w:styleId="Маркированныйсписок2">
    <w:name w:val="Маркированный список 2"/>
    <w:basedOn w:val="Обычный"/>
    <w:next w:val="Маркированныйсписок2"/>
    <w:autoRedefine w:val="0"/>
    <w:hidden w:val="0"/>
    <w:qFormat w:val="1"/>
    <w:pPr>
      <w:numPr>
        <w:ilvl w:val="0"/>
        <w:numId w:val="1"/>
      </w:numPr>
      <w:suppressAutoHyphens w:val="1"/>
      <w:spacing w:line="1" w:lineRule="atLeast"/>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ru-RU" w:val="ru-RU"/>
    </w:rPr>
  </w:style>
  <w:style w:type="paragraph" w:styleId="Основнойтекстсотступом">
    <w:name w:val="Основной текст с отступом"/>
    <w:basedOn w:val="Обычный"/>
    <w:next w:val="Основнойтекстсотступом"/>
    <w:autoRedefine w:val="0"/>
    <w:hidden w:val="0"/>
    <w:qFormat w:val="1"/>
    <w:pPr>
      <w:suppressAutoHyphens w:val="1"/>
      <w:spacing w:after="120" w:line="1" w:lineRule="atLeast"/>
      <w:ind w:left="283" w:leftChars="-1" w:rightChars="0" w:firstLineChars="-1"/>
      <w:textDirection w:val="btLr"/>
      <w:textAlignment w:val="top"/>
      <w:outlineLvl w:val="0"/>
    </w:pPr>
    <w:rPr>
      <w:w w:val="100"/>
      <w:position w:val="-1"/>
      <w:effect w:val="none"/>
      <w:vertAlign w:val="baseline"/>
      <w:cs w:val="0"/>
      <w:em w:val="none"/>
      <w:lang w:bidi="ar-SA" w:eastAsia="und" w:val="und"/>
    </w:rPr>
  </w:style>
  <w:style w:type="character" w:styleId="ОсновнойтекстсотступомЗнак">
    <w:name w:val="Основной текст с отступом Знак"/>
    <w:next w:val="ОсновнойтекстсотступомЗнак"/>
    <w:autoRedefine w:val="0"/>
    <w:hidden w:val="0"/>
    <w:qFormat w:val="0"/>
    <w:rPr>
      <w:w w:val="100"/>
      <w:position w:val="-1"/>
      <w:effect w:val="none"/>
      <w:vertAlign w:val="baseline"/>
      <w:cs w:val="0"/>
      <w:em w:val="none"/>
      <w:lang/>
    </w:rPr>
  </w:style>
  <w:style w:type="paragraph" w:styleId="Краснаястрока2">
    <w:name w:val="Красная строка 2"/>
    <w:basedOn w:val="Основнойтекстсотступом"/>
    <w:next w:val="Краснаястрока2"/>
    <w:autoRedefine w:val="0"/>
    <w:hidden w:val="0"/>
    <w:qFormat w:val="1"/>
    <w:pPr>
      <w:suppressAutoHyphens w:val="1"/>
      <w:spacing w:after="120" w:line="1" w:lineRule="atLeast"/>
      <w:ind w:left="283" w:leftChars="-1" w:rightChars="0" w:firstLine="210" w:firstLineChars="-1"/>
      <w:textDirection w:val="btLr"/>
      <w:textAlignment w:val="top"/>
      <w:outlineLvl w:val="0"/>
    </w:pPr>
    <w:rPr>
      <w:w w:val="100"/>
      <w:position w:val="-1"/>
      <w:effect w:val="none"/>
      <w:vertAlign w:val="baseline"/>
      <w:cs w:val="0"/>
      <w:em w:val="none"/>
      <w:lang w:bidi="ar-SA" w:eastAsia="und" w:val="und"/>
    </w:rPr>
  </w:style>
  <w:style w:type="character" w:styleId="Краснаястрока2Знак">
    <w:name w:val="Красная строка 2 Знак"/>
    <w:basedOn w:val="ОсновнойтекстсотступомЗнак"/>
    <w:next w:val="Краснаястрока2Знак"/>
    <w:autoRedefine w:val="0"/>
    <w:hidden w:val="0"/>
    <w:qFormat w:val="0"/>
    <w:rPr>
      <w:w w:val="100"/>
      <w:position w:val="-1"/>
      <w:effect w:val="none"/>
      <w:vertAlign w:val="baseline"/>
      <w:cs w:val="0"/>
      <w:em w:val="none"/>
      <w:lang/>
    </w:rPr>
  </w:style>
  <w:style w:type="paragraph" w:styleId="Список2">
    <w:name w:val="Список 2"/>
    <w:basedOn w:val="Обычный"/>
    <w:next w:val="Список2"/>
    <w:autoRedefine w:val="0"/>
    <w:hidden w:val="0"/>
    <w:qFormat w:val="1"/>
    <w:pPr>
      <w:widowControl w:val="0"/>
      <w:suppressAutoHyphens w:val="0"/>
      <w:spacing w:line="1" w:lineRule="atLeast"/>
      <w:ind w:left="566" w:leftChars="-1" w:rightChars="0" w:hanging="283" w:firstLineChars="-1"/>
      <w:contextualSpacing w:val="1"/>
      <w:textDirection w:val="btLr"/>
      <w:textAlignment w:val="top"/>
      <w:outlineLvl w:val="0"/>
    </w:pPr>
    <w:rPr>
      <w:rFonts w:ascii="Times New Roman" w:cs="Times New Roman" w:hAnsi="Times New Roman"/>
      <w:w w:val="100"/>
      <w:position w:val="-1"/>
      <w:sz w:val="22"/>
      <w:szCs w:val="22"/>
      <w:effect w:val="none"/>
      <w:vertAlign w:val="baseline"/>
      <w:cs w:val="0"/>
      <w:em w:val="none"/>
      <w:lang w:bidi="ar-SA" w:eastAsia="en-US" w:val="en-US"/>
    </w:rPr>
  </w:style>
  <w:style w:type="character" w:styleId="Оглавление_">
    <w:name w:val="Оглавление_"/>
    <w:next w:val="Оглавление_"/>
    <w:autoRedefine w:val="0"/>
    <w:hidden w:val="0"/>
    <w:qFormat w:val="0"/>
    <w:rPr>
      <w:rFonts w:ascii="Times New Roman" w:eastAsia="Times New Roman" w:hAnsi="Times New Roman"/>
      <w:w w:val="100"/>
      <w:position w:val="-1"/>
      <w:sz w:val="22"/>
      <w:szCs w:val="22"/>
      <w:effect w:val="none"/>
      <w:shd w:color="auto" w:fill="ffffff" w:val="clear"/>
      <w:vertAlign w:val="baseline"/>
      <w:cs w:val="0"/>
      <w:em w:val="none"/>
      <w:lang/>
    </w:rPr>
  </w:style>
  <w:style w:type="paragraph" w:styleId="Оглавление">
    <w:name w:val="Оглавление"/>
    <w:basedOn w:val="Обычный"/>
    <w:next w:val="Оглавление"/>
    <w:autoRedefine w:val="0"/>
    <w:hidden w:val="0"/>
    <w:qFormat w:val="0"/>
    <w:pPr>
      <w:widowControl w:val="0"/>
      <w:shd w:color="auto" w:fill="ffffff" w:val="clear"/>
      <w:suppressAutoHyphens w:val="1"/>
      <w:spacing w:line="1" w:lineRule="atLeast"/>
      <w:ind w:leftChars="-1" w:rightChars="0" w:firstLine="280" w:firstLineChars="-1"/>
      <w:textDirection w:val="btLr"/>
      <w:textAlignment w:val="top"/>
      <w:outlineLvl w:val="0"/>
    </w:pPr>
    <w:rPr>
      <w:rFonts w:ascii="Times New Roman" w:cs="Times New Roman" w:eastAsia="Times New Roman" w:hAnsi="Times New Roman"/>
      <w:w w:val="100"/>
      <w:position w:val="-1"/>
      <w:sz w:val="22"/>
      <w:szCs w:val="22"/>
      <w:effect w:val="none"/>
      <w:vertAlign w:val="baseline"/>
      <w:cs w:val="0"/>
      <w:em w:val="none"/>
      <w:lang w:bidi="ar-SA" w:eastAsia="und" w:val="und"/>
    </w:rPr>
  </w:style>
  <w:style w:type="paragraph" w:styleId="Основнойтекстсотступом3">
    <w:name w:val="Основной текст с отступом 3"/>
    <w:basedOn w:val="Обычный"/>
    <w:next w:val="Основнойтекстсотступом3"/>
    <w:autoRedefine w:val="0"/>
    <w:hidden w:val="0"/>
    <w:qFormat w:val="1"/>
    <w:pPr>
      <w:suppressAutoHyphens w:val="1"/>
      <w:spacing w:after="120" w:line="1" w:lineRule="atLeast"/>
      <w:ind w:left="283" w:leftChars="-1" w:rightChars="0" w:firstLineChars="-1"/>
      <w:textDirection w:val="btLr"/>
      <w:textAlignment w:val="top"/>
      <w:outlineLvl w:val="0"/>
    </w:pPr>
    <w:rPr>
      <w:rFonts w:ascii="Times New Roman" w:cs="Times New Roman" w:eastAsia="Times New Roman" w:hAnsi="Times New Roman"/>
      <w:w w:val="100"/>
      <w:position w:val="-1"/>
      <w:sz w:val="16"/>
      <w:szCs w:val="16"/>
      <w:effect w:val="none"/>
      <w:vertAlign w:val="baseline"/>
      <w:cs w:val="0"/>
      <w:em w:val="none"/>
      <w:lang w:bidi="ar-SA" w:eastAsia="ru-RU" w:val="uk-UA"/>
    </w:rPr>
  </w:style>
  <w:style w:type="character" w:styleId="Основнойтекстсотступом3Знак">
    <w:name w:val="Основной текст с отступом 3 Знак"/>
    <w:basedOn w:val="Основнойшрифтабзаца"/>
    <w:next w:val="Основнойтекстсотступом3Знак"/>
    <w:autoRedefine w:val="0"/>
    <w:hidden w:val="0"/>
    <w:qFormat w:val="0"/>
    <w:rPr>
      <w:rFonts w:ascii="Times New Roman" w:eastAsia="Times New Roman" w:hAnsi="Times New Roman"/>
      <w:w w:val="100"/>
      <w:position w:val="-1"/>
      <w:sz w:val="16"/>
      <w:szCs w:val="16"/>
      <w:effect w:val="none"/>
      <w:vertAlign w:val="baseline"/>
      <w:cs w:val="0"/>
      <w:em w:val="none"/>
      <w:lang w:val="uk-UA"/>
    </w:rPr>
  </w:style>
  <w:style w:type="paragraph" w:styleId="Основнойтекст2">
    <w:name w:val="Основной текст2"/>
    <w:basedOn w:val="Обычный"/>
    <w:next w:val="Основнойтекст2"/>
    <w:autoRedefine w:val="0"/>
    <w:hidden w:val="0"/>
    <w:qFormat w:val="0"/>
    <w:pPr>
      <w:widowControl w:val="0"/>
      <w:shd w:color="auto" w:fill="ffffff" w:val="clear"/>
      <w:suppressAutoHyphens w:val="1"/>
      <w:spacing w:before="2700" w:line="317" w:lineRule="atLeast"/>
      <w:ind w:leftChars="-1" w:rightChars="0" w:hanging="1120" w:firstLineChars="-1"/>
      <w:jc w:val="both"/>
      <w:textDirection w:val="btLr"/>
      <w:textAlignment w:val="top"/>
      <w:outlineLvl w:val="0"/>
    </w:pPr>
    <w:rPr>
      <w:rFonts w:ascii="Times New Roman" w:cs="Times New Roman" w:eastAsia="Times New Roman" w:hAnsi="Times New Roman"/>
      <w:w w:val="100"/>
      <w:position w:val="-1"/>
      <w:sz w:val="28"/>
      <w:szCs w:val="28"/>
      <w:effect w:val="none"/>
      <w:vertAlign w:val="baseline"/>
      <w:cs w:val="0"/>
      <w:em w:val="none"/>
      <w:lang w:bidi="ar-SA" w:eastAsia="ru-RU" w:val="ru-RU"/>
    </w:rPr>
  </w:style>
  <w:style w:type="character" w:styleId="Основнойтекст(4)_">
    <w:name w:val="Основной текст (4)_"/>
    <w:basedOn w:val="Основнойшрифтабзаца"/>
    <w:next w:val="Основнойтекст(4)_"/>
    <w:autoRedefine w:val="0"/>
    <w:hidden w:val="0"/>
    <w:qFormat w:val="0"/>
    <w:rPr>
      <w:rFonts w:ascii="Times New Roman" w:eastAsia="Times New Roman" w:hAnsi="Times New Roman"/>
      <w:b w:val="1"/>
      <w:bCs w:val="1"/>
      <w:w w:val="100"/>
      <w:position w:val="-1"/>
      <w:sz w:val="27"/>
      <w:szCs w:val="27"/>
      <w:effect w:val="none"/>
      <w:shd w:color="auto" w:fill="ffffff" w:val="clear"/>
      <w:vertAlign w:val="baseline"/>
      <w:cs w:val="0"/>
      <w:em w:val="none"/>
      <w:lang/>
    </w:rPr>
  </w:style>
  <w:style w:type="paragraph" w:styleId="Основнойтекст(4)">
    <w:name w:val="Основной текст (4)"/>
    <w:basedOn w:val="Обычный"/>
    <w:next w:val="Основнойтекст(4)"/>
    <w:autoRedefine w:val="0"/>
    <w:hidden w:val="0"/>
    <w:qFormat w:val="0"/>
    <w:pPr>
      <w:widowControl w:val="0"/>
      <w:shd w:color="auto" w:fill="ffffff" w:val="clear"/>
      <w:suppressAutoHyphens w:val="1"/>
      <w:spacing w:after="360" w:line="0" w:lineRule="atLeast"/>
      <w:ind w:leftChars="-1" w:rightChars="0" w:hanging="360" w:firstLineChars="-1"/>
      <w:textDirection w:val="btLr"/>
      <w:textAlignment w:val="top"/>
      <w:outlineLvl w:val="0"/>
    </w:pPr>
    <w:rPr>
      <w:rFonts w:ascii="Times New Roman" w:cs="Times New Roman" w:eastAsia="Times New Roman" w:hAnsi="Times New Roman"/>
      <w:b w:val="1"/>
      <w:bCs w:val="1"/>
      <w:w w:val="100"/>
      <w:position w:val="-1"/>
      <w:sz w:val="27"/>
      <w:szCs w:val="27"/>
      <w:effect w:val="none"/>
      <w:vertAlign w:val="baseline"/>
      <w:cs w:val="0"/>
      <w:em w:val="none"/>
      <w:lang w:bidi="ar-SA" w:eastAsia="ru-RU" w:val="ru-RU"/>
    </w:rPr>
  </w:style>
  <w:style w:type="character" w:styleId="Заголовок№4_">
    <w:name w:val="Заголовок №4_"/>
    <w:basedOn w:val="Основнойшрифтабзаца"/>
    <w:next w:val="Заголовок№4_"/>
    <w:autoRedefine w:val="0"/>
    <w:hidden w:val="0"/>
    <w:qFormat w:val="0"/>
    <w:rPr>
      <w:rFonts w:ascii="Times New Roman" w:eastAsia="Times New Roman" w:hAnsi="Times New Roman"/>
      <w:b w:val="1"/>
      <w:bCs w:val="1"/>
      <w:w w:val="100"/>
      <w:position w:val="-1"/>
      <w:sz w:val="27"/>
      <w:szCs w:val="27"/>
      <w:effect w:val="none"/>
      <w:shd w:color="auto" w:fill="ffffff" w:val="clear"/>
      <w:vertAlign w:val="baseline"/>
      <w:cs w:val="0"/>
      <w:em w:val="none"/>
      <w:lang/>
    </w:rPr>
  </w:style>
  <w:style w:type="paragraph" w:styleId="Заголовок№4">
    <w:name w:val="Заголовок №4"/>
    <w:basedOn w:val="Обычный"/>
    <w:next w:val="Заголовок№4"/>
    <w:autoRedefine w:val="0"/>
    <w:hidden w:val="0"/>
    <w:qFormat w:val="0"/>
    <w:pPr>
      <w:widowControl w:val="0"/>
      <w:shd w:color="auto" w:fill="ffffff" w:val="clear"/>
      <w:suppressAutoHyphens w:val="1"/>
      <w:spacing w:after="420" w:before="300" w:line="0" w:lineRule="atLeast"/>
      <w:ind w:leftChars="-1" w:rightChars="0" w:firstLineChars="-1"/>
      <w:textDirection w:val="btLr"/>
      <w:textAlignment w:val="top"/>
      <w:outlineLvl w:val="3"/>
    </w:pPr>
    <w:rPr>
      <w:rFonts w:ascii="Times New Roman" w:cs="Times New Roman" w:eastAsia="Times New Roman" w:hAnsi="Times New Roman"/>
      <w:b w:val="1"/>
      <w:bCs w:val="1"/>
      <w:w w:val="100"/>
      <w:position w:val="-1"/>
      <w:sz w:val="27"/>
      <w:szCs w:val="27"/>
      <w:effect w:val="none"/>
      <w:vertAlign w:val="baseline"/>
      <w:cs w:val="0"/>
      <w:em w:val="none"/>
      <w:lang w:bidi="ar-SA" w:eastAsia="ru-RU" w:val="ru-RU"/>
    </w:rPr>
  </w:style>
  <w:style w:type="paragraph" w:styleId="Оглавление1">
    <w:name w:val="Оглавление 1"/>
    <w:basedOn w:val="Обычный"/>
    <w:next w:val="Оглавление1"/>
    <w:autoRedefine w:val="0"/>
    <w:hidden w:val="0"/>
    <w:qFormat w:val="0"/>
    <w:pPr>
      <w:widowControl w:val="0"/>
      <w:suppressAutoHyphens w:val="1"/>
      <w:autoSpaceDE w:val="0"/>
      <w:autoSpaceDN w:val="0"/>
      <w:spacing w:before="136" w:line="1" w:lineRule="atLeast"/>
      <w:ind w:left="832" w:leftChars="-1" w:rightChars="0" w:firstLineChars="-1"/>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ListParagraph">
    <w:name w:val="List Paragraph"/>
    <w:basedOn w:val="Обычный"/>
    <w:next w:val="ListParagraph"/>
    <w:autoRedefine w:val="0"/>
    <w:hidden w:val="0"/>
    <w:qFormat w:val="0"/>
    <w:pPr>
      <w:widowControl w:val="0"/>
      <w:suppressAutoHyphens w:val="1"/>
      <w:autoSpaceDE w:val="0"/>
      <w:autoSpaceDN w:val="0"/>
      <w:spacing w:line="1" w:lineRule="atLeast"/>
      <w:ind w:left="1552" w:leftChars="-1" w:rightChars="0" w:hanging="360" w:firstLineChars="-1"/>
      <w:textDirection w:val="btLr"/>
      <w:textAlignment w:val="top"/>
      <w:outlineLvl w:val="0"/>
    </w:pPr>
    <w:rPr>
      <w:rFonts w:ascii="Arial" w:cs="Arial" w:eastAsia="Times New Roman" w:hAnsi="Arial"/>
      <w:w w:val="100"/>
      <w:position w:val="-1"/>
      <w:sz w:val="22"/>
      <w:szCs w:val="22"/>
      <w:effect w:val="none"/>
      <w:vertAlign w:val="baseline"/>
      <w:cs w:val="0"/>
      <w:em w:val="none"/>
      <w:lang w:bidi="ar-SA" w:eastAsia="en-US" w:val="en-US"/>
    </w:rPr>
  </w:style>
  <w:style w:type="character" w:styleId="Основнойтекст(2)_">
    <w:name w:val="Основной текст (2)_"/>
    <w:basedOn w:val="Основнойшрифтабзаца"/>
    <w:next w:val="Основнойтекст(2)_"/>
    <w:autoRedefine w:val="0"/>
    <w:hidden w:val="0"/>
    <w:qFormat w:val="0"/>
    <w:rPr>
      <w:b w:val="1"/>
      <w:bCs w:val="1"/>
      <w:w w:val="100"/>
      <w:position w:val="-1"/>
      <w:sz w:val="27"/>
      <w:szCs w:val="27"/>
      <w:effect w:val="none"/>
      <w:shd w:color="auto" w:fill="ffffff" w:val="clear"/>
      <w:vertAlign w:val="baseline"/>
      <w:cs w:val="0"/>
      <w:em w:val="none"/>
      <w:lang w:bidi="ar-SA"/>
    </w:rPr>
  </w:style>
  <w:style w:type="paragraph" w:styleId="Основнойтекст(2)">
    <w:name w:val="Основной текст (2)"/>
    <w:basedOn w:val="Обычный"/>
    <w:next w:val="Основнойтекст(2)"/>
    <w:autoRedefine w:val="0"/>
    <w:hidden w:val="0"/>
    <w:qFormat w:val="0"/>
    <w:pPr>
      <w:widowControl w:val="0"/>
      <w:shd w:color="auto" w:fill="ffffff" w:val="clear"/>
      <w:suppressAutoHyphens w:val="1"/>
      <w:spacing w:before="420" w:line="475" w:lineRule="atLeast"/>
      <w:ind w:leftChars="-1" w:rightChars="0" w:firstLineChars="-1"/>
      <w:textDirection w:val="btLr"/>
      <w:textAlignment w:val="top"/>
      <w:outlineLvl w:val="0"/>
    </w:pPr>
    <w:rPr>
      <w:rFonts w:ascii="Times New Roman" w:cs="Times New Roman" w:eastAsia="Times New Roman" w:hAnsi="Times New Roman"/>
      <w:b w:val="1"/>
      <w:bCs w:val="1"/>
      <w:w w:val="100"/>
      <w:position w:val="-1"/>
      <w:sz w:val="27"/>
      <w:szCs w:val="27"/>
      <w:effect w:val="none"/>
      <w:shd w:color="auto" w:fill="ffffff" w:val="clear"/>
      <w:vertAlign w:val="baseline"/>
      <w:cs w:val="0"/>
      <w:em w:val="none"/>
      <w:lang w:bidi="ar-SA"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khnnra.edu.ua/wp-content/uploads/2017/09/Polozennya_Pro_Kriter_Ocinuvan.pdf" TargetMode="External"/><Relationship Id="rId10" Type="http://schemas.openxmlformats.org/officeDocument/2006/relationships/hyperlink" Target="http://khnnra.edu.ua/wp-content/uploads/2017/09/Polozennya_Pro_Yakist.pdf" TargetMode="External"/><Relationship Id="rId13" Type="http://schemas.openxmlformats.org/officeDocument/2006/relationships/hyperlink" Target="http://khnnra.edu.ua/wp-content/uploads/2019/04/Poloz_Dobrochesn.pdf" TargetMode="External"/><Relationship Id="rId12" Type="http://schemas.openxmlformats.org/officeDocument/2006/relationships/hyperlink" Target="http://khnnra.edu.ua/wp-content/uploads/2017/09/Polozennya_Pro_Indiv_Graf_Navch.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khnnra.edu.ua/wp-content/uploads/2017/09/Polozennya_Pro_Vibirkov_Disciplini.pdf" TargetMode="External"/><Relationship Id="rId15" Type="http://schemas.openxmlformats.org/officeDocument/2006/relationships/hyperlink" Target="http://www.tsatu.edu.ua/biblioteka/" TargetMode="External"/><Relationship Id="rId14" Type="http://schemas.openxmlformats.org/officeDocument/2006/relationships/hyperlink" Target="http://nip.tsatu.edu.u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khnnra.edu.ua/wp-content/uploads/2017/09/Polozennya_Pro_Osvitn_Proces_02_12.pdf" TargetMode="External"/><Relationship Id="rId8" Type="http://schemas.openxmlformats.org/officeDocument/2006/relationships/hyperlink" Target="http://khnnra.edu.ua/wp-content/uploads/2017/09/Pollozen_Pro_Attestac_Sdobubach_Visch_Osvit.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usDGirTB3ePMeBTGoSxc8sOVA==">CgMxLjAaJAoBMBIfCh0IB0IZCgVBcmlhbBIQQXJpYWwgVW5pY29kZSBNUxokCgExEh8KHQgHQhkKBUFyaWFsEhBBcmlhbCBVbmljb2RlIE1TMg9pZC41N3cyNGg3d3VlbG4yDmguZTMwbDhqYm94eHl6Mg5oLnl0b2U5MzJqZGpicjgAciExSzUxejNqSkZnQ19vMlF1akpBS215YUh1a21yZDlNbFU=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2022-11-23T10:22:00Z</dcterms:created>
  <dc:creator>user</dc:creator>
</cp:coreProperties>
</file>

<file path=docProps/custom.xml><?xml version="1.0" encoding="utf-8"?>
<Properties xmlns="http://schemas.openxmlformats.org/officeDocument/2006/custom-properties" xmlns:vt="http://schemas.openxmlformats.org/officeDocument/2006/docPropsVTypes"/>
</file>